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D1BEC" w14:textId="77777777" w:rsidR="00554E8D" w:rsidRDefault="00554E8D" w:rsidP="00554E8D">
      <w:pPr>
        <w:pStyle w:val="Nadpis1"/>
        <w:spacing w:before="0"/>
        <w:jc w:val="both"/>
      </w:pPr>
      <w:bookmarkStart w:id="0" w:name="_GoBack"/>
      <w:bookmarkEnd w:id="0"/>
    </w:p>
    <w:p w14:paraId="41EBC044" w14:textId="77777777" w:rsidR="00122F65" w:rsidRDefault="00122F65" w:rsidP="00554E8D">
      <w:pPr>
        <w:pStyle w:val="Nadpis1"/>
        <w:spacing w:before="0"/>
        <w:jc w:val="both"/>
      </w:pPr>
      <w:r>
        <w:t xml:space="preserve">Rozšířená tisková zpráva s grafy </w:t>
      </w:r>
    </w:p>
    <w:p w14:paraId="7C026637" w14:textId="77777777" w:rsidR="00122F65" w:rsidRDefault="00122F65" w:rsidP="00F52595">
      <w:pPr>
        <w:jc w:val="both"/>
        <w:rPr>
          <w:rFonts w:eastAsia="Times New Roman" w:cs="Times New Roman"/>
          <w:bCs/>
          <w:lang w:eastAsia="cs-CZ"/>
        </w:rPr>
      </w:pPr>
    </w:p>
    <w:p w14:paraId="01F9DD83" w14:textId="7378CAA1" w:rsidR="00F52595" w:rsidRPr="001C67ED" w:rsidRDefault="00F52595" w:rsidP="00F52595">
      <w:pPr>
        <w:jc w:val="both"/>
        <w:rPr>
          <w:rFonts w:eastAsia="Times New Roman" w:cs="Times New Roman"/>
          <w:bCs/>
          <w:lang w:eastAsia="cs-CZ"/>
        </w:rPr>
      </w:pPr>
      <w:r w:rsidRPr="001C67ED">
        <w:rPr>
          <w:rFonts w:eastAsia="Times New Roman" w:cs="Times New Roman"/>
          <w:bCs/>
          <w:lang w:eastAsia="cs-CZ"/>
        </w:rPr>
        <w:t xml:space="preserve">V roce 2023 </w:t>
      </w:r>
      <w:r w:rsidR="005057AC">
        <w:rPr>
          <w:rFonts w:eastAsia="Times New Roman" w:cs="Times New Roman"/>
          <w:bCs/>
          <w:lang w:eastAsia="cs-CZ"/>
        </w:rPr>
        <w:t>užívala v ČR jedna třetina osob (33,1 %) starších 15 let nikotin (z různých druhů tabákových výrobků a jejich alternativ), ať už denně ne</w:t>
      </w:r>
      <w:r w:rsidR="003D0584">
        <w:rPr>
          <w:rFonts w:eastAsia="Times New Roman" w:cs="Times New Roman"/>
          <w:bCs/>
          <w:lang w:eastAsia="cs-CZ"/>
        </w:rPr>
        <w:t xml:space="preserve">bo příležitostně. Denní užívání uvedlo 23,0 % respondentů.           </w:t>
      </w:r>
      <w:r w:rsidRPr="001C67ED">
        <w:rPr>
          <w:rFonts w:eastAsia="Times New Roman" w:cs="Times New Roman"/>
          <w:bCs/>
          <w:lang w:eastAsia="cs-CZ"/>
        </w:rPr>
        <w:t>U</w:t>
      </w:r>
      <w:r w:rsidR="00E91C00">
        <w:rPr>
          <w:rFonts w:eastAsia="Times New Roman" w:cs="Times New Roman"/>
          <w:bCs/>
          <w:lang w:eastAsia="cs-CZ"/>
        </w:rPr>
        <w:t xml:space="preserve"> </w:t>
      </w:r>
      <w:r w:rsidRPr="001C67ED">
        <w:rPr>
          <w:rFonts w:eastAsia="Times New Roman" w:cs="Times New Roman"/>
          <w:bCs/>
          <w:lang w:eastAsia="cs-CZ"/>
        </w:rPr>
        <w:t>věkové kategorie 15-24 let je tento údaj ještě vyšší. Nikotin v tomto věku užívá polovina osob</w:t>
      </w:r>
      <w:r w:rsidR="003269A1">
        <w:rPr>
          <w:rFonts w:eastAsia="Times New Roman" w:cs="Times New Roman"/>
          <w:bCs/>
          <w:lang w:eastAsia="cs-CZ"/>
        </w:rPr>
        <w:t xml:space="preserve"> (50,2 %)</w:t>
      </w:r>
      <w:r w:rsidRPr="001C67ED">
        <w:rPr>
          <w:rFonts w:eastAsia="Times New Roman" w:cs="Times New Roman"/>
          <w:bCs/>
          <w:lang w:eastAsia="cs-CZ"/>
        </w:rPr>
        <w:t xml:space="preserve">, </w:t>
      </w:r>
      <w:r w:rsidR="00E91C00">
        <w:rPr>
          <w:rFonts w:eastAsia="Times New Roman" w:cs="Times New Roman"/>
          <w:bCs/>
          <w:lang w:eastAsia="cs-CZ"/>
        </w:rPr>
        <w:t xml:space="preserve">denní užívání zaznamenáváme u téměř třetiny </w:t>
      </w:r>
      <w:r w:rsidR="00E06C6D">
        <w:rPr>
          <w:rFonts w:eastAsia="Times New Roman" w:cs="Times New Roman"/>
          <w:bCs/>
          <w:lang w:eastAsia="cs-CZ"/>
        </w:rPr>
        <w:t>této věkové kategorie</w:t>
      </w:r>
      <w:r w:rsidR="00E91C00">
        <w:rPr>
          <w:rFonts w:eastAsia="Times New Roman" w:cs="Times New Roman"/>
          <w:bCs/>
          <w:lang w:eastAsia="cs-CZ"/>
        </w:rPr>
        <w:t xml:space="preserve"> (30,4 %)</w:t>
      </w:r>
      <w:r w:rsidRPr="001C67ED">
        <w:rPr>
          <w:rFonts w:eastAsia="Times New Roman" w:cs="Times New Roman"/>
          <w:bCs/>
          <w:lang w:eastAsia="cs-CZ"/>
        </w:rPr>
        <w:t xml:space="preserve">. </w:t>
      </w:r>
      <w:r w:rsidR="003269A1">
        <w:rPr>
          <w:rFonts w:eastAsia="Times New Roman" w:cs="Times New Roman"/>
          <w:bCs/>
          <w:lang w:eastAsia="cs-CZ"/>
        </w:rPr>
        <w:t>Pokud jde o</w:t>
      </w:r>
      <w:r w:rsidRPr="001C67ED">
        <w:rPr>
          <w:rFonts w:eastAsia="Times New Roman" w:cs="Times New Roman"/>
          <w:bCs/>
          <w:lang w:eastAsia="cs-CZ"/>
        </w:rPr>
        <w:t xml:space="preserve"> alkohol, zůstává Česká republika v mezinárodním měřítku mezi zeměmi s velmi vysokou spotřebou. Vyplývá to z výsledků reprezentativního šetření o užívání tabáku a alkoholu v rámci České republiky (NAUTA), které každoročně uveřejňuje Státní zdravotní ústav u příležitosti Světového dne bez tabáku. Ten vyhlašuje Světová zdravotnická organizace  již od roku 1987 a </w:t>
      </w:r>
      <w:r w:rsidR="000443B6" w:rsidRPr="001C67ED">
        <w:rPr>
          <w:rFonts w:eastAsia="Times New Roman" w:cs="Times New Roman"/>
          <w:bCs/>
          <w:lang w:eastAsia="cs-CZ"/>
        </w:rPr>
        <w:t xml:space="preserve">každoročně </w:t>
      </w:r>
      <w:r w:rsidRPr="001C67ED">
        <w:rPr>
          <w:rFonts w:eastAsia="Times New Roman" w:cs="Times New Roman"/>
          <w:bCs/>
          <w:lang w:eastAsia="cs-CZ"/>
        </w:rPr>
        <w:t xml:space="preserve">připadá na 31. května. </w:t>
      </w:r>
      <w:r w:rsidRPr="001C67ED">
        <w:rPr>
          <w:rFonts w:cs="Arial"/>
          <w:shd w:val="clear" w:color="auto" w:fill="FFFFFF"/>
        </w:rPr>
        <w:t xml:space="preserve">Tématem letošního </w:t>
      </w:r>
      <w:r w:rsidR="00E854DE" w:rsidRPr="001C67ED">
        <w:rPr>
          <w:rFonts w:cs="Arial"/>
          <w:shd w:val="clear" w:color="auto" w:fill="FFFFFF"/>
        </w:rPr>
        <w:t>mezinárodního dne</w:t>
      </w:r>
      <w:r w:rsidRPr="001C67ED">
        <w:rPr>
          <w:rFonts w:cs="Arial"/>
          <w:shd w:val="clear" w:color="auto" w:fill="FFFFFF"/>
        </w:rPr>
        <w:t xml:space="preserve"> je </w:t>
      </w:r>
      <w:r w:rsidR="00057A99" w:rsidRPr="001C67ED">
        <w:rPr>
          <w:rStyle w:val="Siln"/>
        </w:rPr>
        <w:t>„Ochrana dětí před vlivem tabákového průmyslu”</w:t>
      </w:r>
      <w:r w:rsidR="00C43F66" w:rsidRPr="001C67ED">
        <w:t>.</w:t>
      </w:r>
    </w:p>
    <w:p w14:paraId="1BF05B1A" w14:textId="65C0B050" w:rsidR="00F52595" w:rsidRPr="001C67ED" w:rsidRDefault="00F52595" w:rsidP="00F52595">
      <w:pPr>
        <w:jc w:val="both"/>
        <w:rPr>
          <w:rFonts w:eastAsia="Times New Roman" w:cs="Times New Roman"/>
          <w:bCs/>
          <w:lang w:eastAsia="cs-CZ"/>
        </w:rPr>
      </w:pPr>
    </w:p>
    <w:p w14:paraId="24953CDD" w14:textId="41A5DC2C" w:rsidR="00E854DE" w:rsidRPr="001C67ED" w:rsidRDefault="000443B6" w:rsidP="001F71AA">
      <w:pPr>
        <w:pStyle w:val="Normlnweb"/>
        <w:spacing w:before="0" w:beforeAutospacing="0" w:after="120" w:afterAutospacing="0"/>
        <w:jc w:val="both"/>
        <w:rPr>
          <w:rFonts w:ascii="Mulish" w:hAnsi="Mulish"/>
          <w:b/>
          <w:bCs/>
          <w:color w:val="000000" w:themeColor="text1"/>
          <w:sz w:val="20"/>
          <w:szCs w:val="20"/>
        </w:rPr>
      </w:pPr>
      <w:r w:rsidRPr="001C67ED">
        <w:rPr>
          <w:rFonts w:ascii="Mulish" w:hAnsi="Mulish"/>
          <w:b/>
          <w:bCs/>
          <w:color w:val="000000" w:themeColor="text1"/>
          <w:sz w:val="20"/>
          <w:szCs w:val="20"/>
        </w:rPr>
        <w:t>T</w:t>
      </w:r>
      <w:r w:rsidR="00E854DE" w:rsidRPr="001C67ED">
        <w:rPr>
          <w:rFonts w:ascii="Mulish" w:hAnsi="Mulish"/>
          <w:b/>
          <w:bCs/>
          <w:color w:val="000000" w:themeColor="text1"/>
          <w:sz w:val="20"/>
          <w:szCs w:val="20"/>
        </w:rPr>
        <w:t>abákový průmysl</w:t>
      </w:r>
      <w:r w:rsidRPr="001C67ED">
        <w:rPr>
          <w:rFonts w:ascii="Mulish" w:hAnsi="Mulish"/>
          <w:b/>
          <w:bCs/>
          <w:color w:val="000000" w:themeColor="text1"/>
          <w:sz w:val="20"/>
          <w:szCs w:val="20"/>
        </w:rPr>
        <w:t xml:space="preserve"> získává především mladé zákazníky</w:t>
      </w:r>
    </w:p>
    <w:p w14:paraId="30BB485B" w14:textId="56F8B954" w:rsidR="003358F1" w:rsidRPr="001C67ED" w:rsidRDefault="00E854DE" w:rsidP="008B3D86">
      <w:pPr>
        <w:pStyle w:val="Normlnweb"/>
        <w:shd w:val="clear" w:color="auto" w:fill="FFFFFF"/>
        <w:spacing w:before="0" w:beforeAutospacing="0" w:after="0" w:afterAutospacing="0" w:line="288" w:lineRule="auto"/>
        <w:jc w:val="both"/>
        <w:rPr>
          <w:rFonts w:ascii="Mulish" w:hAnsi="Mulish"/>
          <w:bCs/>
          <w:color w:val="000000" w:themeColor="text1"/>
          <w:sz w:val="20"/>
          <w:szCs w:val="20"/>
        </w:rPr>
      </w:pPr>
      <w:r w:rsidRPr="001C67ED">
        <w:rPr>
          <w:rFonts w:ascii="Mulish" w:hAnsi="Mulish"/>
          <w:bCs/>
          <w:i/>
          <w:color w:val="000000" w:themeColor="text1"/>
          <w:sz w:val="20"/>
          <w:szCs w:val="20"/>
        </w:rPr>
        <w:t>„Vzhledem k tomu, že reklam</w:t>
      </w:r>
      <w:r w:rsidR="008724A5" w:rsidRPr="001C67ED">
        <w:rPr>
          <w:rFonts w:ascii="Mulish" w:hAnsi="Mulish"/>
          <w:bCs/>
          <w:i/>
          <w:color w:val="000000" w:themeColor="text1"/>
          <w:sz w:val="20"/>
          <w:szCs w:val="20"/>
        </w:rPr>
        <w:t>a</w:t>
      </w:r>
      <w:r w:rsidRPr="001C67ED">
        <w:rPr>
          <w:rFonts w:ascii="Mulish" w:hAnsi="Mulish"/>
          <w:bCs/>
          <w:i/>
          <w:color w:val="000000" w:themeColor="text1"/>
          <w:sz w:val="20"/>
          <w:szCs w:val="20"/>
        </w:rPr>
        <w:t xml:space="preserve"> na</w:t>
      </w:r>
      <w:r w:rsidR="00C43F66" w:rsidRPr="001C67ED">
        <w:rPr>
          <w:rFonts w:ascii="Mulish" w:hAnsi="Mulish"/>
          <w:bCs/>
          <w:i/>
          <w:color w:val="000000" w:themeColor="text1"/>
          <w:sz w:val="20"/>
          <w:szCs w:val="20"/>
        </w:rPr>
        <w:t xml:space="preserve"> </w:t>
      </w:r>
      <w:r w:rsidR="001F5180" w:rsidRPr="001C67ED">
        <w:rPr>
          <w:rFonts w:ascii="Mulish" w:hAnsi="Mulish"/>
          <w:bCs/>
          <w:i/>
          <w:color w:val="000000" w:themeColor="text1"/>
          <w:sz w:val="20"/>
          <w:szCs w:val="20"/>
        </w:rPr>
        <w:t>tabák</w:t>
      </w:r>
      <w:r w:rsidR="00C43F66" w:rsidRPr="001C67ED">
        <w:rPr>
          <w:rFonts w:ascii="Mulish" w:hAnsi="Mulish"/>
          <w:bCs/>
          <w:i/>
          <w:color w:val="000000" w:themeColor="text1"/>
          <w:sz w:val="20"/>
          <w:szCs w:val="20"/>
        </w:rPr>
        <w:t>ové výrobky</w:t>
      </w:r>
      <w:r w:rsidRPr="001C67ED">
        <w:rPr>
          <w:rFonts w:ascii="Mulish" w:hAnsi="Mulish"/>
          <w:bCs/>
          <w:i/>
          <w:color w:val="000000" w:themeColor="text1"/>
          <w:sz w:val="20"/>
          <w:szCs w:val="20"/>
        </w:rPr>
        <w:t xml:space="preserve"> v tradičních médiích</w:t>
      </w:r>
      <w:r w:rsidR="007C4C82" w:rsidRPr="001C67ED">
        <w:rPr>
          <w:rFonts w:ascii="Mulish" w:hAnsi="Mulish"/>
          <w:bCs/>
          <w:i/>
          <w:color w:val="000000" w:themeColor="text1"/>
          <w:sz w:val="20"/>
          <w:szCs w:val="20"/>
        </w:rPr>
        <w:t xml:space="preserve"> je stále více regulována</w:t>
      </w:r>
      <w:r w:rsidRPr="001C67ED">
        <w:rPr>
          <w:rFonts w:ascii="Mulish" w:hAnsi="Mulish"/>
          <w:bCs/>
          <w:i/>
          <w:color w:val="000000" w:themeColor="text1"/>
          <w:sz w:val="20"/>
          <w:szCs w:val="20"/>
        </w:rPr>
        <w:t xml:space="preserve">, </w:t>
      </w:r>
      <w:r w:rsidR="003D6C5D" w:rsidRPr="001C67ED">
        <w:rPr>
          <w:rFonts w:ascii="Mulish" w:hAnsi="Mulish"/>
          <w:bCs/>
          <w:i/>
          <w:color w:val="000000" w:themeColor="text1"/>
          <w:sz w:val="20"/>
          <w:szCs w:val="20"/>
        </w:rPr>
        <w:t xml:space="preserve">hledají </w:t>
      </w:r>
      <w:r w:rsidRPr="001C67ED">
        <w:rPr>
          <w:rFonts w:ascii="Mulish" w:hAnsi="Mulish"/>
          <w:bCs/>
          <w:i/>
          <w:color w:val="000000" w:themeColor="text1"/>
          <w:sz w:val="20"/>
          <w:szCs w:val="20"/>
        </w:rPr>
        <w:t>tabákové společnosti nové způsoby, jak oslovit budoucí</w:t>
      </w:r>
      <w:r w:rsidR="005010D8" w:rsidRPr="001C67ED">
        <w:rPr>
          <w:rFonts w:ascii="Mulish" w:hAnsi="Mulish"/>
          <w:bCs/>
          <w:i/>
          <w:color w:val="000000" w:themeColor="text1"/>
          <w:sz w:val="20"/>
          <w:szCs w:val="20"/>
        </w:rPr>
        <w:t xml:space="preserve"> uživatele</w:t>
      </w:r>
      <w:r w:rsidR="001F5180" w:rsidRPr="001C67ED">
        <w:rPr>
          <w:rFonts w:ascii="Mulish" w:hAnsi="Mulish"/>
          <w:bCs/>
          <w:i/>
          <w:color w:val="000000" w:themeColor="text1"/>
          <w:sz w:val="20"/>
          <w:szCs w:val="20"/>
        </w:rPr>
        <w:t xml:space="preserve"> </w:t>
      </w:r>
      <w:r w:rsidR="005010D8" w:rsidRPr="001C67ED">
        <w:rPr>
          <w:rFonts w:ascii="Mulish" w:hAnsi="Mulish"/>
          <w:bCs/>
          <w:i/>
          <w:color w:val="000000" w:themeColor="text1"/>
          <w:sz w:val="20"/>
          <w:szCs w:val="20"/>
        </w:rPr>
        <w:t>zejména</w:t>
      </w:r>
      <w:r w:rsidR="00A4615C" w:rsidRPr="001C67ED">
        <w:rPr>
          <w:rFonts w:ascii="Mulish" w:hAnsi="Mulish"/>
          <w:bCs/>
          <w:i/>
          <w:color w:val="000000" w:themeColor="text1"/>
          <w:sz w:val="20"/>
          <w:szCs w:val="20"/>
        </w:rPr>
        <w:t xml:space="preserve"> v online prostoru. </w:t>
      </w:r>
      <w:r w:rsidR="003358F1" w:rsidRPr="001C67ED">
        <w:rPr>
          <w:rFonts w:ascii="Mulish" w:hAnsi="Mulish"/>
          <w:bCs/>
          <w:i/>
          <w:color w:val="000000" w:themeColor="text1"/>
          <w:sz w:val="20"/>
          <w:szCs w:val="20"/>
        </w:rPr>
        <w:t>Bez aktualizovaných předpisů je bezpočet mladých lidí vystaven marketingu tabákového průmyslu</w:t>
      </w:r>
      <w:r w:rsidR="00A4615C" w:rsidRPr="001C67ED">
        <w:rPr>
          <w:rFonts w:ascii="Mulish" w:hAnsi="Mulish"/>
          <w:bCs/>
          <w:i/>
          <w:color w:val="000000" w:themeColor="text1"/>
          <w:sz w:val="20"/>
          <w:szCs w:val="20"/>
        </w:rPr>
        <w:t xml:space="preserve">, který je zaměřen </w:t>
      </w:r>
      <w:r w:rsidR="001F71AA" w:rsidRPr="001C67ED">
        <w:rPr>
          <w:rFonts w:ascii="Mulish" w:hAnsi="Mulish"/>
          <w:bCs/>
          <w:i/>
          <w:color w:val="000000" w:themeColor="text1"/>
          <w:sz w:val="20"/>
          <w:szCs w:val="20"/>
        </w:rPr>
        <w:t xml:space="preserve">zejména </w:t>
      </w:r>
      <w:r w:rsidR="00A4615C" w:rsidRPr="001C67ED">
        <w:rPr>
          <w:rFonts w:ascii="Mulish" w:hAnsi="Mulish"/>
          <w:bCs/>
          <w:i/>
          <w:color w:val="000000" w:themeColor="text1"/>
          <w:sz w:val="20"/>
          <w:szCs w:val="20"/>
        </w:rPr>
        <w:t>na</w:t>
      </w:r>
      <w:r w:rsidR="001F71AA" w:rsidRPr="001C67ED">
        <w:rPr>
          <w:rFonts w:ascii="Mulish" w:hAnsi="Mulish"/>
          <w:bCs/>
          <w:i/>
          <w:color w:val="000000" w:themeColor="text1"/>
          <w:sz w:val="20"/>
          <w:szCs w:val="20"/>
        </w:rPr>
        <w:t xml:space="preserve"> </w:t>
      </w:r>
      <w:r w:rsidR="00C43F66" w:rsidRPr="001C67ED">
        <w:rPr>
          <w:rFonts w:ascii="Mulish" w:hAnsi="Mulish"/>
          <w:bCs/>
          <w:i/>
          <w:color w:val="000000" w:themeColor="text1"/>
          <w:sz w:val="20"/>
          <w:szCs w:val="20"/>
        </w:rPr>
        <w:t>alternativy ke kouření</w:t>
      </w:r>
      <w:r w:rsidR="009F186B" w:rsidRPr="001C67ED">
        <w:rPr>
          <w:rFonts w:ascii="Mulish" w:hAnsi="Mulish"/>
          <w:bCs/>
          <w:i/>
          <w:color w:val="000000" w:themeColor="text1"/>
          <w:sz w:val="20"/>
          <w:szCs w:val="20"/>
        </w:rPr>
        <w:t>,</w:t>
      </w:r>
      <w:r w:rsidR="00A4615C" w:rsidRPr="001C67ED">
        <w:rPr>
          <w:rFonts w:ascii="Mulish" w:hAnsi="Mulish"/>
          <w:bCs/>
          <w:i/>
          <w:color w:val="000000" w:themeColor="text1"/>
          <w:sz w:val="20"/>
          <w:szCs w:val="20"/>
        </w:rPr>
        <w:t xml:space="preserve"> jako jsou</w:t>
      </w:r>
      <w:r w:rsidR="001F71AA" w:rsidRPr="001C67ED">
        <w:rPr>
          <w:rFonts w:ascii="Mulish" w:hAnsi="Mulish"/>
          <w:bCs/>
          <w:i/>
          <w:color w:val="000000" w:themeColor="text1"/>
          <w:sz w:val="20"/>
          <w:szCs w:val="20"/>
        </w:rPr>
        <w:t> </w:t>
      </w:r>
      <w:hyperlink r:id="rId8" w:tgtFrame="_blank" w:history="1">
        <w:r w:rsidR="001F71AA" w:rsidRPr="001C67ED">
          <w:rPr>
            <w:rFonts w:ascii="Mulish" w:hAnsi="Mulish"/>
            <w:bCs/>
            <w:i/>
            <w:color w:val="000000" w:themeColor="text1"/>
            <w:sz w:val="20"/>
            <w:szCs w:val="20"/>
          </w:rPr>
          <w:t>nikotinové sáčky</w:t>
        </w:r>
      </w:hyperlink>
      <w:r w:rsidR="001F71AA" w:rsidRPr="001C67ED">
        <w:rPr>
          <w:rFonts w:ascii="Mulish" w:hAnsi="Mulish"/>
          <w:bCs/>
          <w:i/>
          <w:color w:val="000000" w:themeColor="text1"/>
          <w:sz w:val="20"/>
          <w:szCs w:val="20"/>
        </w:rPr>
        <w:t>, </w:t>
      </w:r>
      <w:hyperlink r:id="rId9" w:tgtFrame="_blank" w:history="1">
        <w:r w:rsidR="001F71AA" w:rsidRPr="001C67ED">
          <w:rPr>
            <w:rFonts w:ascii="Mulish" w:hAnsi="Mulish"/>
            <w:bCs/>
            <w:i/>
            <w:color w:val="000000" w:themeColor="text1"/>
            <w:sz w:val="20"/>
            <w:szCs w:val="20"/>
          </w:rPr>
          <w:t>e-cigarety</w:t>
        </w:r>
      </w:hyperlink>
      <w:r w:rsidR="001F71AA" w:rsidRPr="001C67ED">
        <w:rPr>
          <w:rFonts w:ascii="Mulish" w:hAnsi="Mulish"/>
          <w:bCs/>
          <w:i/>
          <w:color w:val="000000" w:themeColor="text1"/>
          <w:sz w:val="20"/>
          <w:szCs w:val="20"/>
        </w:rPr>
        <w:t> a </w:t>
      </w:r>
      <w:hyperlink r:id="rId10" w:tgtFrame="_blank" w:history="1">
        <w:r w:rsidR="001F71AA" w:rsidRPr="001C67ED">
          <w:rPr>
            <w:rFonts w:ascii="Mulish" w:hAnsi="Mulish"/>
            <w:bCs/>
            <w:i/>
            <w:color w:val="000000" w:themeColor="text1"/>
            <w:sz w:val="20"/>
            <w:szCs w:val="20"/>
          </w:rPr>
          <w:t>zahřívané tabákové výrobky</w:t>
        </w:r>
      </w:hyperlink>
      <w:r w:rsidR="001F71AA" w:rsidRPr="001C67ED">
        <w:rPr>
          <w:rFonts w:ascii="Mulish" w:hAnsi="Mulish"/>
          <w:bCs/>
          <w:i/>
          <w:color w:val="000000" w:themeColor="text1"/>
          <w:sz w:val="20"/>
          <w:szCs w:val="20"/>
        </w:rPr>
        <w:t xml:space="preserve">. Digitální reklama na tyto produkty je často zobrazuje jako módní produkty </w:t>
      </w:r>
      <w:r w:rsidR="003269A1">
        <w:rPr>
          <w:rFonts w:ascii="Mulish" w:hAnsi="Mulish"/>
          <w:bCs/>
          <w:i/>
          <w:color w:val="000000" w:themeColor="text1"/>
          <w:sz w:val="20"/>
          <w:szCs w:val="20"/>
        </w:rPr>
        <w:t>životního stylu</w:t>
      </w:r>
      <w:r w:rsidR="001F71AA" w:rsidRPr="001C67ED">
        <w:rPr>
          <w:rFonts w:ascii="Mulish" w:hAnsi="Mulish"/>
          <w:bCs/>
          <w:i/>
          <w:color w:val="000000" w:themeColor="text1"/>
          <w:sz w:val="20"/>
          <w:szCs w:val="20"/>
        </w:rPr>
        <w:t>.</w:t>
      </w:r>
      <w:r w:rsidR="00A4615C" w:rsidRPr="001C67ED">
        <w:rPr>
          <w:rFonts w:ascii="Mulish" w:hAnsi="Mulish"/>
          <w:bCs/>
          <w:i/>
          <w:color w:val="000000" w:themeColor="text1"/>
          <w:sz w:val="20"/>
          <w:szCs w:val="20"/>
        </w:rPr>
        <w:t>“</w:t>
      </w:r>
    </w:p>
    <w:p w14:paraId="2C38E7B9" w14:textId="77777777" w:rsidR="003358F1" w:rsidRPr="001C67ED" w:rsidRDefault="003358F1" w:rsidP="00F52595">
      <w:pPr>
        <w:jc w:val="both"/>
        <w:rPr>
          <w:rFonts w:eastAsia="Times New Roman" w:cs="Times New Roman"/>
          <w:bCs/>
          <w:lang w:eastAsia="cs-CZ"/>
        </w:rPr>
      </w:pPr>
    </w:p>
    <w:p w14:paraId="14CC8710" w14:textId="77777777" w:rsidR="00054DB7" w:rsidRDefault="00054DB7" w:rsidP="00A42F45">
      <w:pPr>
        <w:pStyle w:val="Nadpis2"/>
      </w:pPr>
    </w:p>
    <w:p w14:paraId="021D13F2" w14:textId="301E4868" w:rsidR="00A42F45" w:rsidRPr="001C67ED" w:rsidRDefault="001F71AA" w:rsidP="00A42F45">
      <w:pPr>
        <w:pStyle w:val="Nadpis2"/>
      </w:pPr>
      <w:r w:rsidRPr="001C67ED">
        <w:t>Souhrn v</w:t>
      </w:r>
      <w:r w:rsidR="00700586" w:rsidRPr="001C67ED">
        <w:t>ýsledk</w:t>
      </w:r>
      <w:r w:rsidRPr="001C67ED">
        <w:t xml:space="preserve">ů </w:t>
      </w:r>
    </w:p>
    <w:p w14:paraId="0A12A7B0" w14:textId="77777777" w:rsidR="001F71AA" w:rsidRPr="001C67ED" w:rsidRDefault="001F71AA" w:rsidP="001F71AA">
      <w:pPr>
        <w:rPr>
          <w:b/>
        </w:rPr>
      </w:pPr>
    </w:p>
    <w:p w14:paraId="52DB3EDC" w14:textId="1982184D" w:rsidR="005A2108" w:rsidRPr="001C67ED" w:rsidRDefault="005A2108" w:rsidP="005A2108">
      <w:pPr>
        <w:spacing w:after="120"/>
        <w:rPr>
          <w:b/>
        </w:rPr>
      </w:pPr>
      <w:r w:rsidRPr="001C67ED">
        <w:rPr>
          <w:b/>
        </w:rPr>
        <w:t>Kuřáci</w:t>
      </w:r>
      <w:r w:rsidR="008719EA" w:rsidRPr="001C67ED">
        <w:rPr>
          <w:b/>
        </w:rPr>
        <w:t xml:space="preserve"> a uživatelé nikotinu</w:t>
      </w:r>
    </w:p>
    <w:p w14:paraId="6CC1EA18" w14:textId="730946E1" w:rsidR="001F71AA" w:rsidRPr="001C67ED" w:rsidRDefault="001F71AA" w:rsidP="008B3D86">
      <w:pPr>
        <w:jc w:val="both"/>
        <w:rPr>
          <w:rFonts w:eastAsia="Times New Roman" w:cs="Times New Roman"/>
          <w:bCs/>
          <w:lang w:eastAsia="cs-CZ"/>
        </w:rPr>
      </w:pPr>
      <w:r w:rsidRPr="001C67ED">
        <w:rPr>
          <w:rFonts w:eastAsia="Times New Roman" w:cs="Times New Roman"/>
          <w:bCs/>
          <w:lang w:eastAsia="cs-CZ"/>
        </w:rPr>
        <w:t xml:space="preserve">Počet kuřáků tradičních tabákových výrobků, vykazuje </w:t>
      </w:r>
      <w:r w:rsidR="005A2108" w:rsidRPr="001C67ED">
        <w:rPr>
          <w:rFonts w:eastAsia="Times New Roman" w:cs="Times New Roman"/>
          <w:bCs/>
          <w:lang w:eastAsia="cs-CZ"/>
        </w:rPr>
        <w:t xml:space="preserve">i přes </w:t>
      </w:r>
      <w:r w:rsidR="004D225C">
        <w:rPr>
          <w:rFonts w:eastAsia="Times New Roman" w:cs="Times New Roman"/>
          <w:bCs/>
          <w:lang w:eastAsia="cs-CZ"/>
        </w:rPr>
        <w:t>mírné</w:t>
      </w:r>
      <w:r w:rsidR="005A2108" w:rsidRPr="001C67ED">
        <w:rPr>
          <w:rFonts w:eastAsia="Times New Roman" w:cs="Times New Roman"/>
          <w:bCs/>
          <w:lang w:eastAsia="cs-CZ"/>
        </w:rPr>
        <w:t xml:space="preserve"> roční odchylky </w:t>
      </w:r>
      <w:r w:rsidRPr="001C67ED">
        <w:rPr>
          <w:rFonts w:eastAsia="Times New Roman" w:cs="Times New Roman"/>
          <w:bCs/>
          <w:lang w:eastAsia="cs-CZ"/>
        </w:rPr>
        <w:t>trvalý pokles</w:t>
      </w:r>
      <w:r w:rsidR="004D225C">
        <w:rPr>
          <w:rFonts w:eastAsia="Times New Roman" w:cs="Times New Roman"/>
          <w:bCs/>
          <w:lang w:eastAsia="cs-CZ"/>
        </w:rPr>
        <w:t xml:space="preserve">, nicméně </w:t>
      </w:r>
      <w:r w:rsidRPr="001C67ED">
        <w:rPr>
          <w:rFonts w:eastAsia="Times New Roman" w:cs="Times New Roman"/>
          <w:bCs/>
          <w:lang w:eastAsia="cs-CZ"/>
        </w:rPr>
        <w:t>v posledních třech letech se ustálil na přibližně čtvrtině kuřáků. Naopak významně přibývá uživatelů alternativních výrobků</w:t>
      </w:r>
      <w:r w:rsidR="0036259F" w:rsidRPr="001C67ED">
        <w:rPr>
          <w:rFonts w:eastAsia="Times New Roman" w:cs="Times New Roman"/>
          <w:bCs/>
          <w:lang w:eastAsia="cs-CZ"/>
        </w:rPr>
        <w:t xml:space="preserve"> ke kouření</w:t>
      </w:r>
      <w:r w:rsidRPr="001C67ED">
        <w:rPr>
          <w:rFonts w:eastAsia="Times New Roman" w:cs="Times New Roman"/>
          <w:bCs/>
          <w:lang w:eastAsia="cs-CZ"/>
        </w:rPr>
        <w:t xml:space="preserve">, jako jsou elektronické cigarety, zahřívaný tabák a nikotinové sáčky. Zejména mladí ve věku 15-24 let </w:t>
      </w:r>
      <w:r w:rsidR="004D225C">
        <w:rPr>
          <w:rFonts w:eastAsia="Times New Roman" w:cs="Times New Roman"/>
          <w:bCs/>
          <w:lang w:eastAsia="cs-CZ"/>
        </w:rPr>
        <w:t>častěji sahají po alternativách</w:t>
      </w:r>
      <w:r w:rsidRPr="001C67ED">
        <w:rPr>
          <w:rFonts w:eastAsia="Times New Roman" w:cs="Times New Roman"/>
          <w:bCs/>
          <w:lang w:eastAsia="cs-CZ"/>
        </w:rPr>
        <w:t>.</w:t>
      </w:r>
    </w:p>
    <w:p w14:paraId="51D34E33" w14:textId="1FE08ACD" w:rsidR="005A2108" w:rsidRDefault="00700586" w:rsidP="008B3D86">
      <w:pPr>
        <w:jc w:val="both"/>
        <w:rPr>
          <w:rFonts w:eastAsia="Times New Roman" w:cs="Times New Roman"/>
          <w:lang w:eastAsia="cs-CZ"/>
        </w:rPr>
      </w:pPr>
      <w:r w:rsidRPr="001C67ED">
        <w:rPr>
          <w:rFonts w:eastAsia="Times New Roman" w:cs="Times New Roman"/>
          <w:lang w:eastAsia="cs-CZ"/>
        </w:rPr>
        <w:t>V populaci České republiky bylo v roce 202</w:t>
      </w:r>
      <w:r w:rsidR="00EC0707" w:rsidRPr="001C67ED">
        <w:rPr>
          <w:rFonts w:eastAsia="Times New Roman" w:cs="Times New Roman"/>
          <w:lang w:eastAsia="cs-CZ"/>
        </w:rPr>
        <w:t>3</w:t>
      </w:r>
      <w:r w:rsidRPr="001C67ED">
        <w:rPr>
          <w:rFonts w:eastAsia="Times New Roman" w:cs="Times New Roman"/>
          <w:lang w:eastAsia="cs-CZ"/>
        </w:rPr>
        <w:t xml:space="preserve"> celkem 24,</w:t>
      </w:r>
      <w:r w:rsidR="00EC0707" w:rsidRPr="001C67ED">
        <w:rPr>
          <w:rFonts w:eastAsia="Times New Roman" w:cs="Times New Roman"/>
          <w:lang w:eastAsia="cs-CZ"/>
        </w:rPr>
        <w:t>6</w:t>
      </w:r>
      <w:r w:rsidRPr="001C67ED">
        <w:rPr>
          <w:rFonts w:eastAsia="Times New Roman" w:cs="Times New Roman"/>
          <w:lang w:eastAsia="cs-CZ"/>
        </w:rPr>
        <w:t xml:space="preserve"> % kuřáků </w:t>
      </w:r>
      <w:r w:rsidR="003269A1">
        <w:rPr>
          <w:rFonts w:eastAsia="Times New Roman" w:cs="Times New Roman"/>
          <w:lang w:eastAsia="cs-CZ"/>
        </w:rPr>
        <w:t>tradičních</w:t>
      </w:r>
      <w:r w:rsidRPr="001C67ED">
        <w:rPr>
          <w:rFonts w:eastAsia="Times New Roman" w:cs="Times New Roman"/>
          <w:lang w:eastAsia="cs-CZ"/>
        </w:rPr>
        <w:t xml:space="preserve"> druhů tabákových výrobků, které zahrnují cigarety (průmyslově vyráběné i ručně balené), dýmky, doutníky, doutníčky a vodní dýmky. Denně kouří </w:t>
      </w:r>
      <w:r w:rsidR="00826F9B">
        <w:rPr>
          <w:rFonts w:eastAsia="Times New Roman" w:cs="Times New Roman"/>
          <w:lang w:eastAsia="cs-CZ"/>
        </w:rPr>
        <w:t>pětina mužů (</w:t>
      </w:r>
      <w:r w:rsidRPr="001C67ED">
        <w:rPr>
          <w:rFonts w:eastAsia="Times New Roman" w:cs="Times New Roman"/>
          <w:lang w:eastAsia="cs-CZ"/>
        </w:rPr>
        <w:t>20,</w:t>
      </w:r>
      <w:r w:rsidR="00745DF2" w:rsidRPr="001C67ED">
        <w:rPr>
          <w:rFonts w:eastAsia="Times New Roman" w:cs="Times New Roman"/>
          <w:lang w:eastAsia="cs-CZ"/>
        </w:rPr>
        <w:t>1</w:t>
      </w:r>
      <w:r w:rsidRPr="001C67ED">
        <w:rPr>
          <w:rFonts w:eastAsia="Times New Roman" w:cs="Times New Roman"/>
          <w:lang w:eastAsia="cs-CZ"/>
        </w:rPr>
        <w:t xml:space="preserve"> %</w:t>
      </w:r>
      <w:r w:rsidR="00826F9B">
        <w:rPr>
          <w:rFonts w:eastAsia="Times New Roman" w:cs="Times New Roman"/>
          <w:lang w:eastAsia="cs-CZ"/>
        </w:rPr>
        <w:t xml:space="preserve">) </w:t>
      </w:r>
      <w:r w:rsidRPr="001C67ED">
        <w:rPr>
          <w:rFonts w:eastAsia="Times New Roman" w:cs="Times New Roman"/>
          <w:lang w:eastAsia="cs-CZ"/>
        </w:rPr>
        <w:t>a 1</w:t>
      </w:r>
      <w:r w:rsidR="00745DF2" w:rsidRPr="001C67ED">
        <w:rPr>
          <w:rFonts w:eastAsia="Times New Roman" w:cs="Times New Roman"/>
          <w:lang w:eastAsia="cs-CZ"/>
        </w:rPr>
        <w:t>1</w:t>
      </w:r>
      <w:r w:rsidRPr="001C67ED">
        <w:rPr>
          <w:rFonts w:eastAsia="Times New Roman" w:cs="Times New Roman"/>
          <w:lang w:eastAsia="cs-CZ"/>
        </w:rPr>
        <w:t>,</w:t>
      </w:r>
      <w:r w:rsidR="00745DF2" w:rsidRPr="001C67ED">
        <w:rPr>
          <w:rFonts w:eastAsia="Times New Roman" w:cs="Times New Roman"/>
          <w:lang w:eastAsia="cs-CZ"/>
        </w:rPr>
        <w:t>9</w:t>
      </w:r>
      <w:r w:rsidRPr="001C67ED">
        <w:rPr>
          <w:rFonts w:eastAsia="Times New Roman" w:cs="Times New Roman"/>
          <w:lang w:eastAsia="cs-CZ"/>
        </w:rPr>
        <w:t xml:space="preserve"> % žen starších 15 let. </w:t>
      </w:r>
    </w:p>
    <w:p w14:paraId="04399538" w14:textId="77777777" w:rsidR="00054DB7" w:rsidRPr="00826F9B" w:rsidRDefault="00054DB7" w:rsidP="008B3D86">
      <w:pPr>
        <w:jc w:val="both"/>
        <w:rPr>
          <w:rFonts w:eastAsia="Arial Unicode MS" w:cs="Arial"/>
          <w:color w:val="auto"/>
        </w:rPr>
      </w:pPr>
    </w:p>
    <w:p w14:paraId="118DE8A5" w14:textId="0C3BCA19" w:rsidR="00C84F5E" w:rsidRDefault="00C84F5E" w:rsidP="005A2108">
      <w:pPr>
        <w:spacing w:before="120"/>
        <w:jc w:val="both"/>
        <w:rPr>
          <w:rFonts w:eastAsia="Arial Unicode MS" w:cs="Arial"/>
        </w:rPr>
      </w:pPr>
    </w:p>
    <w:p w14:paraId="6CC4C8F1" w14:textId="545DB7AA" w:rsidR="00122F65" w:rsidRDefault="00122F65" w:rsidP="005A2108">
      <w:pPr>
        <w:spacing w:before="120"/>
        <w:jc w:val="both"/>
        <w:rPr>
          <w:rFonts w:eastAsia="Arial Unicode MS" w:cs="Arial"/>
        </w:rPr>
      </w:pPr>
    </w:p>
    <w:p w14:paraId="2A5BE72D" w14:textId="22C06AD6" w:rsidR="00122F65" w:rsidRDefault="00122F65" w:rsidP="005A2108">
      <w:pPr>
        <w:spacing w:before="120"/>
        <w:jc w:val="both"/>
        <w:rPr>
          <w:rFonts w:eastAsia="Arial Unicode MS" w:cs="Arial"/>
        </w:rPr>
      </w:pPr>
    </w:p>
    <w:p w14:paraId="4ACF6424" w14:textId="77777777" w:rsidR="00122F65" w:rsidRPr="001C67ED" w:rsidRDefault="00122F65" w:rsidP="005A2108">
      <w:pPr>
        <w:spacing w:before="120"/>
        <w:jc w:val="both"/>
        <w:rPr>
          <w:rFonts w:eastAsia="Arial Unicode MS" w:cs="Arial"/>
        </w:rPr>
      </w:pPr>
    </w:p>
    <w:p w14:paraId="71BFCE07" w14:textId="36318E54" w:rsidR="000C262E" w:rsidRDefault="00C84F5E" w:rsidP="000C262E">
      <w:pPr>
        <w:spacing w:after="120"/>
        <w:jc w:val="both"/>
        <w:rPr>
          <w:rFonts w:eastAsia="Arial Unicode MS" w:cs="Arial"/>
          <w:b/>
        </w:rPr>
      </w:pPr>
      <w:r w:rsidRPr="001C67ED">
        <w:rPr>
          <w:rFonts w:eastAsia="Arial Unicode MS" w:cs="Arial"/>
          <w:b/>
        </w:rPr>
        <w:t>Prevalence kuřáctví v ČR v letech 2012-2023</w:t>
      </w:r>
    </w:p>
    <w:p w14:paraId="266C03A3" w14:textId="6CBEE0B7" w:rsidR="00C84F5E" w:rsidRPr="001C67ED" w:rsidRDefault="00C84F5E" w:rsidP="005A2108">
      <w:pPr>
        <w:spacing w:before="120"/>
        <w:jc w:val="both"/>
        <w:rPr>
          <w:rFonts w:eastAsia="Arial Unicode MS" w:cs="Arial"/>
        </w:rPr>
      </w:pPr>
      <w:r w:rsidRPr="001C67ED">
        <w:rPr>
          <w:noProof/>
          <w:lang w:eastAsia="cs-CZ"/>
        </w:rPr>
        <w:drawing>
          <wp:inline distT="0" distB="0" distL="0" distR="0" wp14:anchorId="214C68C2" wp14:editId="300437BD">
            <wp:extent cx="5305425" cy="3086100"/>
            <wp:effectExtent l="0" t="0" r="9525" b="0"/>
            <wp:docPr id="30" name="Graf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A24B823" w14:textId="4FFEC8A7" w:rsidR="00C84F5E" w:rsidRPr="00826F9B" w:rsidRDefault="0032370A" w:rsidP="0032370A">
      <w:pPr>
        <w:spacing w:line="240" w:lineRule="atLeast"/>
        <w:jc w:val="both"/>
        <w:rPr>
          <w:rFonts w:eastAsia="Times New Roman" w:cs="Times New Roman"/>
          <w:sz w:val="16"/>
          <w:szCs w:val="16"/>
          <w:lang w:eastAsia="cs-CZ"/>
        </w:rPr>
      </w:pPr>
      <w:r w:rsidRPr="00826F9B">
        <w:rPr>
          <w:rFonts w:eastAsia="Times New Roman" w:cs="Times New Roman"/>
          <w:sz w:val="16"/>
          <w:szCs w:val="16"/>
          <w:lang w:eastAsia="cs-CZ"/>
        </w:rPr>
        <w:t xml:space="preserve">Pozn.: </w:t>
      </w:r>
      <w:r w:rsidR="00C84F5E" w:rsidRPr="00826F9B">
        <w:rPr>
          <w:rFonts w:eastAsia="Times New Roman" w:cs="Times New Roman"/>
          <w:sz w:val="16"/>
          <w:szCs w:val="16"/>
          <w:lang w:eastAsia="cs-CZ"/>
        </w:rPr>
        <w:t xml:space="preserve">Graf zahrnuje kuřáky cigaret (jak průmyslově vyrobených, tak i ručně ubalených), dýmek, doutníků, doutníčků a vodních dýmek. </w:t>
      </w:r>
    </w:p>
    <w:p w14:paraId="56D690F7" w14:textId="38E2A9A3" w:rsidR="00C84F5E" w:rsidRPr="00826F9B" w:rsidRDefault="00C84F5E" w:rsidP="0032370A">
      <w:pPr>
        <w:spacing w:line="240" w:lineRule="atLeast"/>
        <w:jc w:val="both"/>
        <w:rPr>
          <w:rFonts w:eastAsia="Times New Roman" w:cs="Times New Roman"/>
          <w:sz w:val="16"/>
          <w:szCs w:val="16"/>
          <w:lang w:eastAsia="cs-CZ"/>
        </w:rPr>
      </w:pPr>
      <w:r w:rsidRPr="00826F9B">
        <w:rPr>
          <w:rFonts w:eastAsia="Times New Roman" w:cs="Times New Roman"/>
          <w:sz w:val="16"/>
          <w:szCs w:val="16"/>
          <w:lang w:eastAsia="cs-CZ"/>
        </w:rPr>
        <w:t xml:space="preserve">Kuřáci tabákových výrobků celkem (denní a příležitostní </w:t>
      </w:r>
      <w:r w:rsidR="00826F9B" w:rsidRPr="00826F9B">
        <w:rPr>
          <w:rFonts w:eastAsia="Times New Roman" w:cs="Times New Roman"/>
          <w:sz w:val="16"/>
          <w:szCs w:val="16"/>
          <w:lang w:eastAsia="cs-CZ"/>
        </w:rPr>
        <w:t>–</w:t>
      </w:r>
      <w:r w:rsidRPr="00826F9B">
        <w:rPr>
          <w:rFonts w:eastAsia="Times New Roman" w:cs="Times New Roman"/>
          <w:sz w:val="16"/>
          <w:szCs w:val="16"/>
          <w:lang w:eastAsia="cs-CZ"/>
        </w:rPr>
        <w:t xml:space="preserve"> </w:t>
      </w:r>
      <w:r w:rsidR="004D225C">
        <w:rPr>
          <w:rFonts w:eastAsia="Times New Roman" w:cs="Times New Roman"/>
          <w:sz w:val="16"/>
          <w:szCs w:val="16"/>
          <w:lang w:eastAsia="cs-CZ"/>
        </w:rPr>
        <w:t xml:space="preserve">tj. </w:t>
      </w:r>
      <w:r w:rsidR="00826F9B" w:rsidRPr="00826F9B">
        <w:rPr>
          <w:rFonts w:eastAsia="Times New Roman" w:cs="Times New Roman"/>
          <w:sz w:val="16"/>
          <w:szCs w:val="16"/>
          <w:lang w:eastAsia="cs-CZ"/>
        </w:rPr>
        <w:t xml:space="preserve">kouří </w:t>
      </w:r>
      <w:r w:rsidRPr="00826F9B">
        <w:rPr>
          <w:rFonts w:eastAsia="Times New Roman" w:cs="Times New Roman"/>
          <w:sz w:val="16"/>
          <w:szCs w:val="16"/>
          <w:lang w:eastAsia="cs-CZ"/>
        </w:rPr>
        <w:t>méně často než denně, ale alespoň jednou měsíčně) a denní kuřá</w:t>
      </w:r>
      <w:r w:rsidR="0032370A" w:rsidRPr="00826F9B">
        <w:rPr>
          <w:rFonts w:eastAsia="Times New Roman" w:cs="Times New Roman"/>
          <w:sz w:val="16"/>
          <w:szCs w:val="16"/>
          <w:lang w:eastAsia="cs-CZ"/>
        </w:rPr>
        <w:t>ci</w:t>
      </w:r>
      <w:r w:rsidR="00826F9B">
        <w:rPr>
          <w:rFonts w:eastAsia="Times New Roman" w:cs="Times New Roman"/>
          <w:sz w:val="16"/>
          <w:szCs w:val="16"/>
          <w:lang w:eastAsia="cs-CZ"/>
        </w:rPr>
        <w:t>.</w:t>
      </w:r>
    </w:p>
    <w:p w14:paraId="0E2BF48F" w14:textId="77777777" w:rsidR="00C84F5E" w:rsidRPr="001C67ED" w:rsidRDefault="00C84F5E" w:rsidP="005A2108">
      <w:pPr>
        <w:spacing w:before="120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7FFEF7D0" w14:textId="45F115FB" w:rsidR="00700586" w:rsidRPr="001C67ED" w:rsidRDefault="00700586" w:rsidP="008B3D86">
      <w:pPr>
        <w:jc w:val="both"/>
        <w:rPr>
          <w:rFonts w:eastAsia="Times New Roman" w:cs="Times New Roman"/>
          <w:bCs/>
          <w:lang w:eastAsia="cs-CZ"/>
        </w:rPr>
      </w:pPr>
      <w:r w:rsidRPr="001C67ED">
        <w:rPr>
          <w:rFonts w:eastAsia="Times New Roman" w:cs="Times New Roman"/>
          <w:bCs/>
          <w:lang w:eastAsia="cs-CZ"/>
        </w:rPr>
        <w:t>Česká populace kouří převážně cigarety. Podíl jiných tabákových výrobků určených ke kouření je malý. Denní kuřáci kouří nejčastěji 15‒24 cigaret denně (3</w:t>
      </w:r>
      <w:r w:rsidR="0032370A" w:rsidRPr="001C67ED">
        <w:rPr>
          <w:rFonts w:eastAsia="Times New Roman" w:cs="Times New Roman"/>
          <w:bCs/>
          <w:lang w:eastAsia="cs-CZ"/>
        </w:rPr>
        <w:t>3</w:t>
      </w:r>
      <w:r w:rsidRPr="001C67ED">
        <w:rPr>
          <w:rFonts w:eastAsia="Times New Roman" w:cs="Times New Roman"/>
          <w:bCs/>
          <w:lang w:eastAsia="cs-CZ"/>
        </w:rPr>
        <w:t>,</w:t>
      </w:r>
      <w:r w:rsidR="0032370A" w:rsidRPr="001C67ED">
        <w:rPr>
          <w:rFonts w:eastAsia="Times New Roman" w:cs="Times New Roman"/>
          <w:bCs/>
          <w:lang w:eastAsia="cs-CZ"/>
        </w:rPr>
        <w:t>1</w:t>
      </w:r>
      <w:r w:rsidRPr="001C67ED">
        <w:rPr>
          <w:rFonts w:eastAsia="Times New Roman" w:cs="Times New Roman"/>
          <w:bCs/>
          <w:lang w:eastAsia="cs-CZ"/>
        </w:rPr>
        <w:t xml:space="preserve"> %). Mezi </w:t>
      </w:r>
      <w:r w:rsidR="0032370A" w:rsidRPr="001C67ED">
        <w:rPr>
          <w:rFonts w:eastAsia="Times New Roman" w:cs="Times New Roman"/>
          <w:bCs/>
          <w:lang w:eastAsia="cs-CZ"/>
        </w:rPr>
        <w:t>denními</w:t>
      </w:r>
      <w:r w:rsidRPr="001C67ED">
        <w:rPr>
          <w:rFonts w:eastAsia="Times New Roman" w:cs="Times New Roman"/>
          <w:bCs/>
          <w:lang w:eastAsia="cs-CZ"/>
        </w:rPr>
        <w:t xml:space="preserve"> kuřáky vykouří muži v průměru přibližně o </w:t>
      </w:r>
      <w:r w:rsidR="0032370A" w:rsidRPr="001C67ED">
        <w:rPr>
          <w:rFonts w:eastAsia="Times New Roman" w:cs="Times New Roman"/>
          <w:bCs/>
          <w:lang w:eastAsia="cs-CZ"/>
        </w:rPr>
        <w:t>2</w:t>
      </w:r>
      <w:r w:rsidRPr="001C67ED">
        <w:rPr>
          <w:rFonts w:eastAsia="Times New Roman" w:cs="Times New Roman"/>
          <w:bCs/>
          <w:lang w:eastAsia="cs-CZ"/>
        </w:rPr>
        <w:t xml:space="preserve"> cigarety </w:t>
      </w:r>
      <w:r w:rsidR="0032370A" w:rsidRPr="001C67ED">
        <w:rPr>
          <w:rFonts w:eastAsia="Times New Roman" w:cs="Times New Roman"/>
          <w:bCs/>
          <w:lang w:eastAsia="cs-CZ"/>
        </w:rPr>
        <w:t xml:space="preserve">za den </w:t>
      </w:r>
      <w:r w:rsidRPr="001C67ED">
        <w:rPr>
          <w:rFonts w:eastAsia="Times New Roman" w:cs="Times New Roman"/>
          <w:bCs/>
          <w:lang w:eastAsia="cs-CZ"/>
        </w:rPr>
        <w:t xml:space="preserve">více než ženy. Podíl kategorie se spotřebou méně než 5 cigaret za den je </w:t>
      </w:r>
      <w:r w:rsidR="0032370A" w:rsidRPr="001C67ED">
        <w:rPr>
          <w:rFonts w:eastAsia="Times New Roman" w:cs="Times New Roman"/>
          <w:bCs/>
          <w:lang w:eastAsia="cs-CZ"/>
        </w:rPr>
        <w:t xml:space="preserve">u žen přibližně o polovinu </w:t>
      </w:r>
      <w:r w:rsidRPr="001C67ED">
        <w:rPr>
          <w:rFonts w:eastAsia="Times New Roman" w:cs="Times New Roman"/>
          <w:bCs/>
          <w:lang w:eastAsia="cs-CZ"/>
        </w:rPr>
        <w:t xml:space="preserve">vyšší u žen než u mužů, zatímco spotřeba 25 a více cigaret denně je u mužů častější než u žen. </w:t>
      </w:r>
      <w:r w:rsidR="0032370A" w:rsidRPr="001C67ED">
        <w:rPr>
          <w:rFonts w:eastAsia="Times New Roman" w:cs="Times New Roman"/>
          <w:bCs/>
          <w:lang w:eastAsia="cs-CZ"/>
        </w:rPr>
        <w:t>V porovnání let 2022 a 2023 zůstává téměř shodný podíl kuřáků, kteří průměrně vykouří 25 a více cigaret denně (5,6 % vs. 5,1 %).</w:t>
      </w:r>
      <w:r w:rsidRPr="001C67ED">
        <w:rPr>
          <w:rFonts w:eastAsia="Times New Roman" w:cs="Times New Roman"/>
          <w:bCs/>
          <w:lang w:eastAsia="cs-CZ"/>
        </w:rPr>
        <w:t xml:space="preserve"> </w:t>
      </w:r>
      <w:r w:rsidR="00E40772" w:rsidRPr="001C67ED">
        <w:rPr>
          <w:rFonts w:eastAsia="Times New Roman" w:cs="Times New Roman"/>
          <w:bCs/>
          <w:lang w:eastAsia="cs-CZ"/>
        </w:rPr>
        <w:t xml:space="preserve">Nejvíce silných kuřáků zaznamenáváme ve věkové kategorii 25‒44 let (6,1 %). </w:t>
      </w:r>
    </w:p>
    <w:p w14:paraId="40739C8B" w14:textId="77777777" w:rsidR="008B3D86" w:rsidRPr="001C67ED" w:rsidRDefault="008B3D86" w:rsidP="008B3D86">
      <w:pPr>
        <w:rPr>
          <w:b/>
        </w:rPr>
      </w:pPr>
    </w:p>
    <w:p w14:paraId="7375DC0C" w14:textId="0AE500CC" w:rsidR="00700586" w:rsidRPr="001C67ED" w:rsidRDefault="00826F9B" w:rsidP="008B3D86">
      <w:pPr>
        <w:spacing w:after="120"/>
        <w:rPr>
          <w:b/>
        </w:rPr>
      </w:pPr>
      <w:r>
        <w:rPr>
          <w:b/>
        </w:rPr>
        <w:t>Elektronické</w:t>
      </w:r>
      <w:r w:rsidR="00700586" w:rsidRPr="001C67ED">
        <w:rPr>
          <w:b/>
        </w:rPr>
        <w:t xml:space="preserve"> cigarety</w:t>
      </w:r>
    </w:p>
    <w:p w14:paraId="5CB82D7A" w14:textId="77777777" w:rsidR="000C262E" w:rsidRDefault="00E40772" w:rsidP="000C262E">
      <w:pPr>
        <w:jc w:val="both"/>
        <w:rPr>
          <w:rFonts w:eastAsia="Times New Roman" w:cs="Times New Roman"/>
          <w:bCs/>
          <w:color w:val="auto"/>
          <w:lang w:eastAsia="cs-CZ"/>
        </w:rPr>
      </w:pPr>
      <w:r w:rsidRPr="001C67ED">
        <w:rPr>
          <w:rFonts w:eastAsia="Times New Roman" w:cs="Times New Roman"/>
          <w:bCs/>
          <w:color w:val="auto"/>
          <w:lang w:eastAsia="cs-CZ"/>
        </w:rPr>
        <w:t>V roce 2023 užívalo elektronické cigarety alespoň jednou měsíčně celkem 11,1 % respondentů, což ve srovnání s rokem 2022 (10,2 %) představuje nárůst o 0,9 p. b. Denně užívá elektronickou cigaretu 6,1 % osob, více muži než ženy</w:t>
      </w:r>
      <w:r w:rsidR="00700586" w:rsidRPr="001C67ED">
        <w:rPr>
          <w:rFonts w:eastAsia="Times New Roman" w:cs="Times New Roman"/>
          <w:bCs/>
          <w:color w:val="auto"/>
          <w:lang w:eastAsia="cs-CZ"/>
        </w:rPr>
        <w:t>.</w:t>
      </w:r>
      <w:r w:rsidR="00700586" w:rsidRPr="001C67ED">
        <w:rPr>
          <w:rFonts w:eastAsia="Times New Roman" w:cs="Times New Roman"/>
          <w:color w:val="auto"/>
          <w:sz w:val="24"/>
          <w:szCs w:val="24"/>
          <w:lang w:eastAsia="cs-CZ"/>
        </w:rPr>
        <w:t xml:space="preserve"> </w:t>
      </w:r>
      <w:r w:rsidRPr="001C67ED">
        <w:rPr>
          <w:rFonts w:eastAsia="Times New Roman" w:cs="Times New Roman"/>
          <w:bCs/>
          <w:color w:val="auto"/>
          <w:lang w:eastAsia="cs-CZ"/>
        </w:rPr>
        <w:t xml:space="preserve">Největší podíl uživatelů elektronických cigaret nacházíme ve věkové kategorii 15–24 let (30,0 %), což představuje v porovnání s rokem 2022 nárůst o 5,1 p. b. V posledních třech letech můžeme pozorovat nárůst také u věkové skupiny 25‒44 let. U ostatních věkových kategorií není v meziročním srovnání nárůst v užívání elektronických cigaret tak výrazný. </w:t>
      </w:r>
    </w:p>
    <w:p w14:paraId="7ABB92E7" w14:textId="77777777" w:rsidR="000C262E" w:rsidRDefault="000C262E" w:rsidP="000C262E">
      <w:pPr>
        <w:jc w:val="both"/>
        <w:rPr>
          <w:rFonts w:eastAsia="Times New Roman" w:cs="Times New Roman"/>
          <w:bCs/>
          <w:color w:val="auto"/>
          <w:lang w:eastAsia="cs-CZ"/>
        </w:rPr>
      </w:pPr>
    </w:p>
    <w:p w14:paraId="4FB6E37A" w14:textId="77777777" w:rsidR="000C262E" w:rsidRDefault="000C262E" w:rsidP="000C262E">
      <w:pPr>
        <w:jc w:val="both"/>
        <w:rPr>
          <w:rFonts w:eastAsia="Times New Roman" w:cs="Times New Roman"/>
          <w:bCs/>
          <w:color w:val="auto"/>
          <w:lang w:eastAsia="cs-CZ"/>
        </w:rPr>
      </w:pPr>
    </w:p>
    <w:p w14:paraId="1046CCEB" w14:textId="77777777" w:rsidR="000C262E" w:rsidRDefault="000C262E" w:rsidP="000C262E">
      <w:pPr>
        <w:jc w:val="both"/>
        <w:rPr>
          <w:rFonts w:eastAsia="Times New Roman" w:cs="Times New Roman"/>
          <w:bCs/>
          <w:color w:val="auto"/>
          <w:lang w:eastAsia="cs-CZ"/>
        </w:rPr>
      </w:pPr>
    </w:p>
    <w:p w14:paraId="26405016" w14:textId="77777777" w:rsidR="000C262E" w:rsidRDefault="00E40772" w:rsidP="000C262E">
      <w:pPr>
        <w:spacing w:after="120" w:line="240" w:lineRule="auto"/>
        <w:jc w:val="both"/>
        <w:rPr>
          <w:rFonts w:eastAsia="Arial Unicode MS" w:cs="Arial"/>
          <w:b/>
        </w:rPr>
      </w:pPr>
      <w:r w:rsidRPr="001C67ED">
        <w:rPr>
          <w:rFonts w:eastAsia="Arial Unicode MS" w:cs="Arial"/>
          <w:b/>
        </w:rPr>
        <w:t>Prevalence užívání elektronických cigaret v ČR v letech 2012‒2023</w:t>
      </w:r>
    </w:p>
    <w:p w14:paraId="295BC774" w14:textId="77777777" w:rsidR="000C262E" w:rsidRDefault="000C262E" w:rsidP="000C262E">
      <w:pPr>
        <w:spacing w:line="240" w:lineRule="auto"/>
        <w:jc w:val="both"/>
        <w:rPr>
          <w:noProof/>
          <w:lang w:eastAsia="cs-CZ"/>
        </w:rPr>
      </w:pPr>
      <w:r w:rsidRPr="001C67ED">
        <w:rPr>
          <w:noProof/>
          <w:lang w:eastAsia="cs-CZ"/>
        </w:rPr>
        <w:drawing>
          <wp:inline distT="0" distB="0" distL="0" distR="0" wp14:anchorId="6D558663" wp14:editId="4CC2C776">
            <wp:extent cx="5267325" cy="3133725"/>
            <wp:effectExtent l="0" t="0" r="9525" b="9525"/>
            <wp:docPr id="20" name="Graf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92C7F47" w14:textId="5DDEFFBA" w:rsidR="00E40772" w:rsidRPr="000C262E" w:rsidRDefault="00E40772" w:rsidP="000C262E">
      <w:pPr>
        <w:spacing w:before="120" w:line="240" w:lineRule="auto"/>
        <w:jc w:val="both"/>
        <w:rPr>
          <w:noProof/>
          <w:lang w:eastAsia="cs-CZ"/>
        </w:rPr>
      </w:pPr>
      <w:r w:rsidRPr="00826F9B">
        <w:rPr>
          <w:rFonts w:eastAsia="Times New Roman" w:cs="Times New Roman"/>
          <w:sz w:val="16"/>
          <w:szCs w:val="16"/>
          <w:lang w:eastAsia="cs-CZ"/>
        </w:rPr>
        <w:t xml:space="preserve">Pozn.: Graf zahrnuje uživatele elektronických cigaret celkem (denní a příležitostní </w:t>
      </w:r>
      <w:r w:rsidR="00824D6F">
        <w:rPr>
          <w:rFonts w:eastAsia="Times New Roman" w:cs="Times New Roman"/>
          <w:sz w:val="16"/>
          <w:szCs w:val="16"/>
          <w:lang w:eastAsia="cs-CZ"/>
        </w:rPr>
        <w:t>–</w:t>
      </w:r>
      <w:r w:rsidRPr="00826F9B">
        <w:rPr>
          <w:rFonts w:eastAsia="Times New Roman" w:cs="Times New Roman"/>
          <w:sz w:val="16"/>
          <w:szCs w:val="16"/>
          <w:lang w:eastAsia="cs-CZ"/>
        </w:rPr>
        <w:t xml:space="preserve"> </w:t>
      </w:r>
      <w:r w:rsidR="004D225C">
        <w:rPr>
          <w:rFonts w:eastAsia="Times New Roman" w:cs="Times New Roman"/>
          <w:sz w:val="16"/>
          <w:szCs w:val="16"/>
          <w:lang w:eastAsia="cs-CZ"/>
        </w:rPr>
        <w:t xml:space="preserve">tj. </w:t>
      </w:r>
      <w:r w:rsidR="00824D6F">
        <w:rPr>
          <w:rFonts w:eastAsia="Times New Roman" w:cs="Times New Roman"/>
          <w:sz w:val="16"/>
          <w:szCs w:val="16"/>
          <w:lang w:eastAsia="cs-CZ"/>
        </w:rPr>
        <w:t xml:space="preserve">užívají </w:t>
      </w:r>
      <w:r w:rsidRPr="00826F9B">
        <w:rPr>
          <w:rFonts w:eastAsia="Times New Roman" w:cs="Times New Roman"/>
          <w:sz w:val="16"/>
          <w:szCs w:val="16"/>
          <w:lang w:eastAsia="cs-CZ"/>
        </w:rPr>
        <w:t>méně často než denně, ale alespoň jednou měsíčně) a denní uživatele. Podíl denních uživatelů je sledován od r</w:t>
      </w:r>
      <w:r w:rsidR="001B3D7F" w:rsidRPr="00826F9B">
        <w:rPr>
          <w:rFonts w:eastAsia="Times New Roman" w:cs="Times New Roman"/>
          <w:sz w:val="16"/>
          <w:szCs w:val="16"/>
          <w:lang w:eastAsia="cs-CZ"/>
        </w:rPr>
        <w:t>oku</w:t>
      </w:r>
      <w:r w:rsidRPr="00826F9B">
        <w:rPr>
          <w:rFonts w:eastAsia="Times New Roman" w:cs="Times New Roman"/>
          <w:sz w:val="16"/>
          <w:szCs w:val="16"/>
          <w:lang w:eastAsia="cs-CZ"/>
        </w:rPr>
        <w:t xml:space="preserve"> 2019.</w:t>
      </w:r>
    </w:p>
    <w:p w14:paraId="7CE554F1" w14:textId="77777777" w:rsidR="000C262E" w:rsidRDefault="000C262E" w:rsidP="000C262E">
      <w:pPr>
        <w:jc w:val="both"/>
        <w:rPr>
          <w:rFonts w:eastAsia="Times New Roman" w:cs="Times New Roman"/>
          <w:bCs/>
          <w:color w:val="auto"/>
          <w:lang w:eastAsia="cs-CZ"/>
        </w:rPr>
      </w:pPr>
    </w:p>
    <w:p w14:paraId="51315D22" w14:textId="77777777" w:rsidR="000C262E" w:rsidRDefault="000C262E" w:rsidP="000C262E">
      <w:pPr>
        <w:jc w:val="both"/>
        <w:rPr>
          <w:rFonts w:eastAsia="Times New Roman" w:cs="Times New Roman"/>
          <w:bCs/>
          <w:color w:val="auto"/>
          <w:lang w:eastAsia="cs-CZ"/>
        </w:rPr>
      </w:pPr>
    </w:p>
    <w:p w14:paraId="1AACE255" w14:textId="04F8A07C" w:rsidR="000C262E" w:rsidRDefault="000C262E" w:rsidP="000C262E">
      <w:pPr>
        <w:jc w:val="both"/>
        <w:rPr>
          <w:rFonts w:eastAsia="Times New Roman" w:cs="Times New Roman"/>
          <w:bCs/>
          <w:color w:val="auto"/>
          <w:lang w:eastAsia="cs-CZ"/>
        </w:rPr>
      </w:pPr>
      <w:r>
        <w:rPr>
          <w:rFonts w:eastAsia="Times New Roman" w:cs="Times New Roman"/>
          <w:bCs/>
          <w:color w:val="auto"/>
          <w:lang w:eastAsia="cs-CZ"/>
        </w:rPr>
        <w:t>Téměř p</w:t>
      </w:r>
      <w:r w:rsidRPr="001C67ED">
        <w:rPr>
          <w:rFonts w:eastAsia="Times New Roman" w:cs="Times New Roman"/>
          <w:bCs/>
          <w:color w:val="auto"/>
          <w:lang w:eastAsia="cs-CZ"/>
        </w:rPr>
        <w:t xml:space="preserve">olovina uživatelů (49,0 %) elektronických cigaret uvádí, že současně kouří i klasické cigarety; 20,8 % uživatelů jsou bývalými kuřáky klasických cigaret a 30,2 % uživatelů před užíváním elektronických cigaret nikdy nekouřilo. </w:t>
      </w:r>
    </w:p>
    <w:p w14:paraId="75738542" w14:textId="6D4C773D" w:rsidR="000C262E" w:rsidRPr="001C67ED" w:rsidRDefault="000C262E" w:rsidP="000C262E">
      <w:pPr>
        <w:jc w:val="both"/>
        <w:rPr>
          <w:rFonts w:eastAsia="Times New Roman" w:cs="Times New Roman"/>
          <w:bCs/>
          <w:color w:val="auto"/>
          <w:lang w:eastAsia="cs-CZ"/>
        </w:rPr>
      </w:pPr>
      <w:r w:rsidRPr="000C262E">
        <w:rPr>
          <w:rFonts w:eastAsia="Times New Roman" w:cs="Times New Roman"/>
          <w:lang w:eastAsia="cs-CZ"/>
        </w:rPr>
        <w:t>Respondenti mohli uvést více důvodů, proč užívají elektronické cigarety.</w:t>
      </w:r>
      <w:r>
        <w:rPr>
          <w:rFonts w:eastAsia="Times New Roman" w:cs="Times New Roman"/>
          <w:lang w:eastAsia="cs-CZ"/>
        </w:rPr>
        <w:t xml:space="preserve"> </w:t>
      </w:r>
      <w:r w:rsidRPr="001C67ED">
        <w:rPr>
          <w:rFonts w:eastAsia="Times New Roman" w:cs="Times New Roman"/>
          <w:bCs/>
          <w:color w:val="auto"/>
          <w:lang w:eastAsia="cs-CZ"/>
        </w:rPr>
        <w:t>Polovina (49,5 %) uvádí jako důvod jejich užívání příchutě, u skupiny 15-24 let je příchuť důvodem k</w:t>
      </w:r>
      <w:r w:rsidR="00054DB7">
        <w:rPr>
          <w:rFonts w:eastAsia="Times New Roman" w:cs="Times New Roman"/>
          <w:bCs/>
          <w:color w:val="auto"/>
          <w:lang w:eastAsia="cs-CZ"/>
        </w:rPr>
        <w:t> </w:t>
      </w:r>
      <w:r w:rsidRPr="001C67ED">
        <w:rPr>
          <w:rFonts w:eastAsia="Times New Roman" w:cs="Times New Roman"/>
          <w:bCs/>
          <w:color w:val="auto"/>
          <w:lang w:eastAsia="cs-CZ"/>
        </w:rPr>
        <w:t>užívání</w:t>
      </w:r>
      <w:r w:rsidR="00054DB7">
        <w:rPr>
          <w:rFonts w:eastAsia="Times New Roman" w:cs="Times New Roman"/>
          <w:bCs/>
          <w:color w:val="auto"/>
          <w:lang w:eastAsia="cs-CZ"/>
        </w:rPr>
        <w:t xml:space="preserve"> přibližně</w:t>
      </w:r>
      <w:r w:rsidRPr="001C67ED">
        <w:rPr>
          <w:rFonts w:eastAsia="Times New Roman" w:cs="Times New Roman"/>
          <w:bCs/>
          <w:color w:val="auto"/>
          <w:lang w:eastAsia="cs-CZ"/>
        </w:rPr>
        <w:t xml:space="preserve"> v šedesáti procentech (61,5 %). Ochucené e-cigarety s příchutí a poutavým designem přispívají k popularizaci těchto produktů mezi mladou generací, přičemž si mnoho uživatelů neuvědomuje jejich negativní účinek na zdraví, včetně silného rizika vzniku závislosti.</w:t>
      </w:r>
    </w:p>
    <w:p w14:paraId="6C81A740" w14:textId="77777777" w:rsidR="000C262E" w:rsidRDefault="000C262E" w:rsidP="008B3D86">
      <w:pPr>
        <w:spacing w:after="120"/>
        <w:jc w:val="both"/>
        <w:rPr>
          <w:rFonts w:eastAsia="Times New Roman" w:cs="Times New Roman"/>
          <w:b/>
          <w:bCs/>
          <w:iCs/>
          <w:lang w:eastAsia="cs-CZ"/>
        </w:rPr>
      </w:pPr>
    </w:p>
    <w:p w14:paraId="285CACFD" w14:textId="0DD982F5" w:rsidR="00700586" w:rsidRPr="001C67ED" w:rsidRDefault="00700586" w:rsidP="008B3D86">
      <w:pPr>
        <w:spacing w:after="120"/>
        <w:jc w:val="both"/>
        <w:rPr>
          <w:rFonts w:eastAsia="Times New Roman" w:cs="Times New Roman"/>
          <w:lang w:eastAsia="cs-CZ"/>
        </w:rPr>
      </w:pPr>
      <w:r w:rsidRPr="001C67ED">
        <w:rPr>
          <w:rFonts w:eastAsia="Times New Roman" w:cs="Times New Roman"/>
          <w:b/>
          <w:bCs/>
          <w:iCs/>
          <w:lang w:eastAsia="cs-CZ"/>
        </w:rPr>
        <w:t>Zahřívané tabákové výrobky</w:t>
      </w:r>
    </w:p>
    <w:p w14:paraId="74402672" w14:textId="15BFF0C0" w:rsidR="00700586" w:rsidRPr="001C67ED" w:rsidRDefault="000C262E" w:rsidP="008B3D86">
      <w:pPr>
        <w:jc w:val="both"/>
        <w:rPr>
          <w:rFonts w:eastAsia="Times New Roman" w:cs="Times New Roman"/>
          <w:bCs/>
          <w:color w:val="auto"/>
          <w:lang w:eastAsia="cs-CZ"/>
        </w:rPr>
      </w:pPr>
      <w:r>
        <w:rPr>
          <w:rFonts w:eastAsia="Times New Roman" w:cs="Times New Roman"/>
          <w:bCs/>
          <w:color w:val="auto"/>
          <w:lang w:eastAsia="cs-CZ"/>
        </w:rPr>
        <w:t>Zahřívané tabákové výrobky v</w:t>
      </w:r>
      <w:r w:rsidR="00700586" w:rsidRPr="001C67ED">
        <w:rPr>
          <w:rFonts w:eastAsia="Times New Roman" w:cs="Times New Roman"/>
          <w:bCs/>
          <w:color w:val="auto"/>
          <w:lang w:eastAsia="cs-CZ"/>
        </w:rPr>
        <w:t xml:space="preserve"> současné době užívá </w:t>
      </w:r>
      <w:r w:rsidR="00597EA0" w:rsidRPr="001C67ED">
        <w:rPr>
          <w:rFonts w:eastAsia="Times New Roman" w:cs="Times New Roman"/>
          <w:bCs/>
          <w:color w:val="auto"/>
          <w:lang w:eastAsia="cs-CZ"/>
        </w:rPr>
        <w:t>4</w:t>
      </w:r>
      <w:r w:rsidR="00700586" w:rsidRPr="001C67ED">
        <w:rPr>
          <w:rFonts w:eastAsia="Times New Roman" w:cs="Times New Roman"/>
          <w:bCs/>
          <w:color w:val="auto"/>
          <w:lang w:eastAsia="cs-CZ"/>
        </w:rPr>
        <w:t>,</w:t>
      </w:r>
      <w:r w:rsidR="00597EA0" w:rsidRPr="001C67ED">
        <w:rPr>
          <w:rFonts w:eastAsia="Times New Roman" w:cs="Times New Roman"/>
          <w:bCs/>
          <w:color w:val="auto"/>
          <w:lang w:eastAsia="cs-CZ"/>
        </w:rPr>
        <w:t>4</w:t>
      </w:r>
      <w:r w:rsidR="00700586" w:rsidRPr="001C67ED">
        <w:rPr>
          <w:rFonts w:eastAsia="Times New Roman" w:cs="Times New Roman"/>
          <w:bCs/>
          <w:color w:val="auto"/>
          <w:lang w:eastAsia="cs-CZ"/>
        </w:rPr>
        <w:t xml:space="preserve"> % dotázaných</w:t>
      </w:r>
      <w:r w:rsidR="00054DB7">
        <w:rPr>
          <w:rFonts w:eastAsia="Times New Roman" w:cs="Times New Roman"/>
          <w:bCs/>
          <w:color w:val="auto"/>
          <w:lang w:eastAsia="cs-CZ"/>
        </w:rPr>
        <w:t>; více ženy než muži</w:t>
      </w:r>
      <w:r w:rsidR="00700586" w:rsidRPr="001C67ED">
        <w:rPr>
          <w:rFonts w:eastAsia="Times New Roman" w:cs="Times New Roman"/>
          <w:bCs/>
          <w:color w:val="auto"/>
          <w:lang w:eastAsia="cs-CZ"/>
        </w:rPr>
        <w:t>. V porovnání s rokem 202</w:t>
      </w:r>
      <w:r w:rsidR="00597EA0" w:rsidRPr="001C67ED">
        <w:rPr>
          <w:rFonts w:eastAsia="Times New Roman" w:cs="Times New Roman"/>
          <w:bCs/>
          <w:color w:val="auto"/>
          <w:lang w:eastAsia="cs-CZ"/>
        </w:rPr>
        <w:t>2</w:t>
      </w:r>
      <w:r w:rsidR="00700586" w:rsidRPr="001C67ED">
        <w:rPr>
          <w:rFonts w:eastAsia="Times New Roman" w:cs="Times New Roman"/>
          <w:bCs/>
          <w:color w:val="auto"/>
          <w:lang w:eastAsia="cs-CZ"/>
        </w:rPr>
        <w:t xml:space="preserve"> (</w:t>
      </w:r>
      <w:r w:rsidR="00597EA0" w:rsidRPr="001C67ED">
        <w:rPr>
          <w:rFonts w:eastAsia="Times New Roman" w:cs="Times New Roman"/>
          <w:bCs/>
          <w:color w:val="auto"/>
          <w:lang w:eastAsia="cs-CZ"/>
        </w:rPr>
        <w:t>6</w:t>
      </w:r>
      <w:r w:rsidR="00700586" w:rsidRPr="001C67ED">
        <w:rPr>
          <w:rFonts w:eastAsia="Times New Roman" w:cs="Times New Roman"/>
          <w:bCs/>
          <w:color w:val="auto"/>
          <w:lang w:eastAsia="cs-CZ"/>
        </w:rPr>
        <w:t>,</w:t>
      </w:r>
      <w:r w:rsidR="00597EA0" w:rsidRPr="001C67ED">
        <w:rPr>
          <w:rFonts w:eastAsia="Times New Roman" w:cs="Times New Roman"/>
          <w:bCs/>
          <w:color w:val="auto"/>
          <w:lang w:eastAsia="cs-CZ"/>
        </w:rPr>
        <w:t>6</w:t>
      </w:r>
      <w:r w:rsidR="00700586" w:rsidRPr="001C67ED">
        <w:rPr>
          <w:rFonts w:eastAsia="Times New Roman" w:cs="Times New Roman"/>
          <w:bCs/>
          <w:color w:val="auto"/>
          <w:lang w:eastAsia="cs-CZ"/>
        </w:rPr>
        <w:t xml:space="preserve"> %) můžeme pozorovat mírný pokles</w:t>
      </w:r>
      <w:r w:rsidR="00597EA0" w:rsidRPr="001C67ED">
        <w:rPr>
          <w:rFonts w:eastAsia="Times New Roman" w:cs="Times New Roman"/>
          <w:bCs/>
          <w:color w:val="auto"/>
          <w:lang w:eastAsia="cs-CZ"/>
        </w:rPr>
        <w:t xml:space="preserve"> o 2,2 p. b.</w:t>
      </w:r>
      <w:r w:rsidR="00700586" w:rsidRPr="001C67ED">
        <w:rPr>
          <w:rFonts w:eastAsia="Times New Roman" w:cs="Times New Roman"/>
          <w:bCs/>
          <w:color w:val="auto"/>
          <w:lang w:eastAsia="cs-CZ"/>
        </w:rPr>
        <w:t xml:space="preserve"> Denně užívá zahřívané tabákové výrobky </w:t>
      </w:r>
      <w:r w:rsidR="00597EA0" w:rsidRPr="001C67ED">
        <w:rPr>
          <w:rFonts w:eastAsia="Times New Roman" w:cs="Times New Roman"/>
          <w:bCs/>
          <w:color w:val="auto"/>
          <w:lang w:eastAsia="cs-CZ"/>
        </w:rPr>
        <w:t>3</w:t>
      </w:r>
      <w:r w:rsidR="00054DB7">
        <w:rPr>
          <w:rFonts w:eastAsia="Times New Roman" w:cs="Times New Roman"/>
          <w:bCs/>
          <w:color w:val="auto"/>
          <w:lang w:eastAsia="cs-CZ"/>
        </w:rPr>
        <w:t>,3 % respondentů</w:t>
      </w:r>
      <w:r w:rsidR="00700586" w:rsidRPr="001C67ED">
        <w:rPr>
          <w:rFonts w:eastAsia="Times New Roman" w:cs="Times New Roman"/>
          <w:bCs/>
          <w:color w:val="auto"/>
          <w:lang w:eastAsia="cs-CZ"/>
        </w:rPr>
        <w:t xml:space="preserve">. </w:t>
      </w:r>
      <w:r w:rsidR="00597EA0" w:rsidRPr="001C67ED">
        <w:rPr>
          <w:rFonts w:eastAsia="Times New Roman" w:cs="Times New Roman"/>
          <w:bCs/>
          <w:color w:val="auto"/>
          <w:lang w:eastAsia="cs-CZ"/>
        </w:rPr>
        <w:t>Stejně jako v roce 2022 spadá n</w:t>
      </w:r>
      <w:r w:rsidR="00700586" w:rsidRPr="001C67ED">
        <w:rPr>
          <w:rFonts w:eastAsia="Times New Roman" w:cs="Times New Roman"/>
          <w:bCs/>
          <w:color w:val="auto"/>
          <w:lang w:eastAsia="cs-CZ"/>
        </w:rPr>
        <w:t xml:space="preserve">ejvíce uživatelů </w:t>
      </w:r>
      <w:r w:rsidR="00054DB7">
        <w:rPr>
          <w:rFonts w:eastAsia="Times New Roman" w:cs="Times New Roman"/>
          <w:bCs/>
          <w:color w:val="auto"/>
          <w:lang w:eastAsia="cs-CZ"/>
        </w:rPr>
        <w:t xml:space="preserve">do věkové kategorie 25‒44 let, </w:t>
      </w:r>
      <w:r w:rsidR="00824D6F">
        <w:rPr>
          <w:rFonts w:eastAsia="Times New Roman" w:cs="Times New Roman"/>
          <w:bCs/>
          <w:color w:val="auto"/>
          <w:lang w:eastAsia="cs-CZ"/>
        </w:rPr>
        <w:t xml:space="preserve">u nejmladší věkové kategorie došlo v posledních třech letech k poklesu užívání těchto výrobků. </w:t>
      </w:r>
    </w:p>
    <w:p w14:paraId="35277487" w14:textId="77777777" w:rsidR="00597EA0" w:rsidRPr="001C67ED" w:rsidRDefault="00597EA0" w:rsidP="008B3D86">
      <w:pPr>
        <w:jc w:val="both"/>
        <w:rPr>
          <w:rFonts w:eastAsia="Times New Roman" w:cs="Times New Roman"/>
          <w:bCs/>
          <w:color w:val="auto"/>
          <w:lang w:eastAsia="cs-CZ"/>
        </w:rPr>
      </w:pPr>
    </w:p>
    <w:p w14:paraId="3D983440" w14:textId="77777777" w:rsidR="00054DB7" w:rsidRDefault="00054DB7" w:rsidP="00A555B9">
      <w:pPr>
        <w:spacing w:after="120"/>
        <w:jc w:val="both"/>
        <w:rPr>
          <w:rFonts w:eastAsia="Times New Roman" w:cs="Times New Roman"/>
          <w:b/>
          <w:bCs/>
          <w:iCs/>
          <w:lang w:eastAsia="cs-CZ"/>
        </w:rPr>
      </w:pPr>
    </w:p>
    <w:p w14:paraId="798CC167" w14:textId="77777777" w:rsidR="00054DB7" w:rsidRDefault="00054DB7" w:rsidP="00A555B9">
      <w:pPr>
        <w:spacing w:after="120"/>
        <w:jc w:val="both"/>
        <w:rPr>
          <w:rFonts w:eastAsia="Times New Roman" w:cs="Times New Roman"/>
          <w:b/>
          <w:bCs/>
          <w:iCs/>
          <w:lang w:eastAsia="cs-CZ"/>
        </w:rPr>
      </w:pPr>
    </w:p>
    <w:p w14:paraId="5C0FE2CA" w14:textId="7F83ACE5" w:rsidR="00700586" w:rsidRPr="001C67ED" w:rsidRDefault="00700586" w:rsidP="00A555B9">
      <w:pPr>
        <w:spacing w:after="120"/>
        <w:jc w:val="both"/>
        <w:rPr>
          <w:rFonts w:eastAsia="Times New Roman" w:cs="Times New Roman"/>
          <w:b/>
          <w:bCs/>
          <w:iCs/>
          <w:lang w:eastAsia="cs-CZ"/>
        </w:rPr>
      </w:pPr>
      <w:r w:rsidRPr="001C67ED">
        <w:rPr>
          <w:rFonts w:eastAsia="Times New Roman" w:cs="Times New Roman"/>
          <w:b/>
          <w:bCs/>
          <w:iCs/>
          <w:lang w:eastAsia="cs-CZ"/>
        </w:rPr>
        <w:t>Nikotinové sáčky</w:t>
      </w:r>
      <w:r w:rsidR="00A555B9">
        <w:rPr>
          <w:rFonts w:eastAsia="Times New Roman" w:cs="Times New Roman"/>
          <w:b/>
          <w:bCs/>
          <w:iCs/>
          <w:lang w:eastAsia="cs-CZ"/>
        </w:rPr>
        <w:t xml:space="preserve"> bez obsahu tabáku</w:t>
      </w:r>
    </w:p>
    <w:p w14:paraId="05355D23" w14:textId="6A6CC1E7" w:rsidR="00700586" w:rsidRPr="001C67ED" w:rsidRDefault="001B5256" w:rsidP="008B3D86">
      <w:pPr>
        <w:jc w:val="both"/>
        <w:rPr>
          <w:rFonts w:eastAsia="Times New Roman" w:cs="Times New Roman"/>
          <w:bCs/>
          <w:iCs/>
          <w:lang w:eastAsia="cs-CZ"/>
        </w:rPr>
      </w:pPr>
      <w:r w:rsidRPr="001C67ED">
        <w:rPr>
          <w:rFonts w:eastAsia="Times New Roman" w:cs="Times New Roman"/>
          <w:bCs/>
          <w:iCs/>
          <w:lang w:eastAsia="cs-CZ"/>
        </w:rPr>
        <w:t>Od roku</w:t>
      </w:r>
      <w:r w:rsidR="00700586" w:rsidRPr="001C67ED">
        <w:rPr>
          <w:rFonts w:eastAsia="Times New Roman" w:cs="Times New Roman"/>
          <w:bCs/>
          <w:iCs/>
          <w:lang w:eastAsia="cs-CZ"/>
        </w:rPr>
        <w:t xml:space="preserve"> 2020 </w:t>
      </w:r>
      <w:r w:rsidRPr="001C67ED">
        <w:rPr>
          <w:rFonts w:eastAsia="Times New Roman" w:cs="Times New Roman"/>
          <w:bCs/>
          <w:iCs/>
          <w:lang w:eastAsia="cs-CZ"/>
        </w:rPr>
        <w:t>mapujeme tak</w:t>
      </w:r>
      <w:r w:rsidR="00700586" w:rsidRPr="001C67ED">
        <w:rPr>
          <w:rFonts w:eastAsia="Times New Roman" w:cs="Times New Roman"/>
          <w:bCs/>
          <w:iCs/>
          <w:lang w:eastAsia="cs-CZ"/>
        </w:rPr>
        <w:t>é</w:t>
      </w:r>
      <w:r w:rsidRPr="001C67ED">
        <w:rPr>
          <w:rFonts w:eastAsia="Times New Roman" w:cs="Times New Roman"/>
          <w:bCs/>
          <w:iCs/>
          <w:lang w:eastAsia="cs-CZ"/>
        </w:rPr>
        <w:t xml:space="preserve"> užívání</w:t>
      </w:r>
      <w:r w:rsidR="00700586" w:rsidRPr="001C67ED">
        <w:rPr>
          <w:rFonts w:eastAsia="Times New Roman" w:cs="Times New Roman"/>
          <w:bCs/>
          <w:iCs/>
          <w:lang w:eastAsia="cs-CZ"/>
        </w:rPr>
        <w:t xml:space="preserve"> nikotinových sáčků bez obsahu tabáku</w:t>
      </w:r>
      <w:r w:rsidR="00714938" w:rsidRPr="001C67ED">
        <w:rPr>
          <w:rFonts w:eastAsia="Times New Roman" w:cs="Times New Roman"/>
          <w:bCs/>
          <w:iCs/>
          <w:lang w:eastAsia="cs-CZ"/>
        </w:rPr>
        <w:t xml:space="preserve">, které se vkládají mezi rty a dásně. </w:t>
      </w:r>
      <w:r w:rsidR="00714938" w:rsidRPr="001C67ED">
        <w:t>Díky své dostupnosti, nízké ceně, diskrétnosti a atraktivnímu balení se staly velmi rychle populární jak mezi dětmi, tak i dospívajícími. Jak ukazují data za rok 2023, n</w:t>
      </w:r>
      <w:r w:rsidR="00700586" w:rsidRPr="001C67ED">
        <w:rPr>
          <w:rFonts w:eastAsia="Times New Roman" w:cs="Times New Roman"/>
          <w:bCs/>
          <w:iCs/>
          <w:lang w:eastAsia="cs-CZ"/>
        </w:rPr>
        <w:t xml:space="preserve">ejvyšší zastoupení uživatelů </w:t>
      </w:r>
      <w:r w:rsidR="00714938" w:rsidRPr="001C67ED">
        <w:rPr>
          <w:rFonts w:eastAsia="Times New Roman" w:cs="Times New Roman"/>
          <w:bCs/>
          <w:iCs/>
          <w:lang w:eastAsia="cs-CZ"/>
        </w:rPr>
        <w:t xml:space="preserve">nikotinových sáčků </w:t>
      </w:r>
      <w:r w:rsidR="00700586" w:rsidRPr="001C67ED">
        <w:rPr>
          <w:rFonts w:eastAsia="Times New Roman" w:cs="Times New Roman"/>
          <w:bCs/>
          <w:iCs/>
          <w:lang w:eastAsia="cs-CZ"/>
        </w:rPr>
        <w:t>nacházíme</w:t>
      </w:r>
      <w:r w:rsidR="00714938" w:rsidRPr="001C67ED">
        <w:rPr>
          <w:rFonts w:eastAsia="Times New Roman" w:cs="Times New Roman"/>
          <w:bCs/>
          <w:iCs/>
          <w:lang w:eastAsia="cs-CZ"/>
        </w:rPr>
        <w:t xml:space="preserve"> právě</w:t>
      </w:r>
      <w:r w:rsidR="00700586" w:rsidRPr="001C67ED">
        <w:rPr>
          <w:rFonts w:eastAsia="Times New Roman" w:cs="Times New Roman"/>
          <w:bCs/>
          <w:iCs/>
          <w:lang w:eastAsia="cs-CZ"/>
        </w:rPr>
        <w:t xml:space="preserve"> v nejmladší věkové skupině 15-24 let, kde </w:t>
      </w:r>
      <w:r w:rsidRPr="001C67ED">
        <w:rPr>
          <w:rFonts w:eastAsia="Times New Roman" w:cs="Times New Roman"/>
          <w:bCs/>
          <w:iCs/>
          <w:lang w:eastAsia="cs-CZ"/>
        </w:rPr>
        <w:t>tyto výrobky užívá 11,5 % respondentů</w:t>
      </w:r>
      <w:r w:rsidR="00714938" w:rsidRPr="001C67ED">
        <w:rPr>
          <w:rFonts w:eastAsia="Times New Roman" w:cs="Times New Roman"/>
          <w:bCs/>
          <w:iCs/>
          <w:lang w:eastAsia="cs-CZ"/>
        </w:rPr>
        <w:t xml:space="preserve">, přičemž 6,0 % denně.  </w:t>
      </w:r>
    </w:p>
    <w:p w14:paraId="69040894" w14:textId="77777777" w:rsidR="008B3D86" w:rsidRPr="001C67ED" w:rsidRDefault="008B3D86" w:rsidP="008B3D86">
      <w:pPr>
        <w:jc w:val="both"/>
        <w:rPr>
          <w:rFonts w:eastAsia="Times New Roman" w:cs="Times New Roman"/>
          <w:b/>
          <w:bCs/>
          <w:iCs/>
          <w:lang w:eastAsia="cs-CZ"/>
        </w:rPr>
      </w:pPr>
    </w:p>
    <w:p w14:paraId="55F517E1" w14:textId="5D1AD256" w:rsidR="001B5256" w:rsidRPr="001C67ED" w:rsidRDefault="001B5256" w:rsidP="000C262E">
      <w:pPr>
        <w:spacing w:after="120"/>
        <w:jc w:val="both"/>
        <w:rPr>
          <w:rFonts w:eastAsia="Times New Roman" w:cs="Times New Roman"/>
          <w:b/>
          <w:bCs/>
          <w:iCs/>
          <w:lang w:eastAsia="cs-CZ"/>
        </w:rPr>
      </w:pPr>
      <w:r w:rsidRPr="001C67ED">
        <w:rPr>
          <w:rFonts w:eastAsia="Times New Roman" w:cs="Times New Roman"/>
          <w:b/>
          <w:bCs/>
          <w:iCs/>
          <w:lang w:eastAsia="cs-CZ"/>
        </w:rPr>
        <w:t>Současní uživatelé nikotinových sáčků bez obsahu tabáku</w:t>
      </w:r>
    </w:p>
    <w:p w14:paraId="7E99938F" w14:textId="719283A4" w:rsidR="001B5256" w:rsidRPr="001C67ED" w:rsidRDefault="001B5256" w:rsidP="008B3D86">
      <w:pPr>
        <w:jc w:val="both"/>
        <w:rPr>
          <w:rFonts w:eastAsia="Times New Roman" w:cs="Times New Roman"/>
          <w:sz w:val="24"/>
          <w:szCs w:val="24"/>
          <w:lang w:eastAsia="cs-CZ"/>
        </w:rPr>
      </w:pPr>
      <w:r w:rsidRPr="001C67ED">
        <w:rPr>
          <w:noProof/>
          <w:lang w:eastAsia="cs-CZ"/>
        </w:rPr>
        <w:drawing>
          <wp:inline distT="0" distB="0" distL="0" distR="0" wp14:anchorId="0EA29796" wp14:editId="0369C1DC">
            <wp:extent cx="5057775" cy="2514600"/>
            <wp:effectExtent l="0" t="0" r="9525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4360FE7" w14:textId="6402ED35" w:rsidR="001B5256" w:rsidRPr="000C262E" w:rsidRDefault="001B5256" w:rsidP="000C262E">
      <w:pPr>
        <w:spacing w:before="120"/>
        <w:jc w:val="both"/>
        <w:rPr>
          <w:rFonts w:cs="Arial"/>
          <w:b/>
          <w:bCs/>
          <w:iCs/>
          <w:sz w:val="16"/>
          <w:szCs w:val="16"/>
        </w:rPr>
      </w:pPr>
      <w:r w:rsidRPr="000C262E">
        <w:rPr>
          <w:rFonts w:cs="Arial"/>
          <w:noProof/>
          <w:sz w:val="16"/>
          <w:szCs w:val="16"/>
        </w:rPr>
        <w:t xml:space="preserve">Pozn.: Graf zahrnuje uživatele nikotinových sáčků celkem (denní a příležitostní </w:t>
      </w:r>
      <w:r w:rsidR="00A555B9">
        <w:rPr>
          <w:rFonts w:cs="Arial"/>
          <w:noProof/>
          <w:sz w:val="16"/>
          <w:szCs w:val="16"/>
        </w:rPr>
        <w:t xml:space="preserve">– </w:t>
      </w:r>
      <w:r w:rsidR="004D225C">
        <w:rPr>
          <w:rFonts w:cs="Arial"/>
          <w:noProof/>
          <w:sz w:val="16"/>
          <w:szCs w:val="16"/>
        </w:rPr>
        <w:t xml:space="preserve">tj. </w:t>
      </w:r>
      <w:r w:rsidR="00A555B9">
        <w:rPr>
          <w:rFonts w:cs="Arial"/>
          <w:noProof/>
          <w:sz w:val="16"/>
          <w:szCs w:val="16"/>
        </w:rPr>
        <w:t xml:space="preserve">užívají </w:t>
      </w:r>
      <w:r w:rsidRPr="000C262E">
        <w:rPr>
          <w:rFonts w:cs="Arial"/>
          <w:sz w:val="16"/>
          <w:szCs w:val="16"/>
        </w:rPr>
        <w:t>méně často než denně,</w:t>
      </w:r>
      <w:r w:rsidRPr="000C262E">
        <w:rPr>
          <w:rFonts w:cs="Arial"/>
          <w:noProof/>
          <w:sz w:val="16"/>
          <w:szCs w:val="16"/>
        </w:rPr>
        <w:t xml:space="preserve"> ale alespoň jednou měsíčně) </w:t>
      </w:r>
    </w:p>
    <w:p w14:paraId="012E881F" w14:textId="77777777" w:rsidR="00733C81" w:rsidRPr="001C67ED" w:rsidRDefault="00733C81" w:rsidP="008B3D86">
      <w:pPr>
        <w:jc w:val="both"/>
        <w:rPr>
          <w:rFonts w:cs="Arial"/>
        </w:rPr>
      </w:pPr>
    </w:p>
    <w:p w14:paraId="1940730C" w14:textId="27E48222" w:rsidR="008719EA" w:rsidRPr="001C67ED" w:rsidRDefault="008719EA" w:rsidP="008B3D86">
      <w:pPr>
        <w:jc w:val="both"/>
      </w:pPr>
      <w:r w:rsidRPr="001C67ED">
        <w:t>Pětina (20,7 %)</w:t>
      </w:r>
      <w:r w:rsidR="00700586" w:rsidRPr="001C67ED">
        <w:t xml:space="preserve"> současných kuřáků udává, že se v průběhu roku 202</w:t>
      </w:r>
      <w:r w:rsidRPr="001C67ED">
        <w:t>3</w:t>
      </w:r>
      <w:r w:rsidR="00700586" w:rsidRPr="001C67ED">
        <w:t xml:space="preserve"> pokusil</w:t>
      </w:r>
      <w:r w:rsidRPr="001C67ED">
        <w:t>i</w:t>
      </w:r>
      <w:r w:rsidR="00700586" w:rsidRPr="001C67ED">
        <w:t xml:space="preserve"> přestat kouřit</w:t>
      </w:r>
      <w:r w:rsidRPr="001C67ED">
        <w:t>. Větší snahu zaznamenáváme u žen než u mužů (23,8 % vs. 18,4 %).</w:t>
      </w:r>
      <w:r w:rsidR="00700586" w:rsidRPr="001C67ED">
        <w:t xml:space="preserve"> </w:t>
      </w:r>
      <w:r w:rsidRPr="001C67ED">
        <w:t>Největší procentuální zastoupení těch, kteří se pokusili přestat, bylo ve skupině nejmladších kuřáků ve věku 15–24 let (27,0 %). Nejvyšší snahu zanechat kouření mají respondenti s vysokoškolským vzděláním, s nižším vzděláním toto úsilí klesá.</w:t>
      </w:r>
    </w:p>
    <w:p w14:paraId="67E9DDE6" w14:textId="77777777" w:rsidR="008719EA" w:rsidRPr="001C67ED" w:rsidRDefault="008719EA" w:rsidP="008B3D86">
      <w:pPr>
        <w:rPr>
          <w:b/>
        </w:rPr>
      </w:pPr>
    </w:p>
    <w:p w14:paraId="386129EE" w14:textId="672FBF18" w:rsidR="00A555B9" w:rsidRPr="00A555B9" w:rsidRDefault="00A555B9" w:rsidP="00A555B9">
      <w:pPr>
        <w:jc w:val="both"/>
        <w:rPr>
          <w:rFonts w:cs="Arial"/>
          <w:i/>
        </w:rPr>
      </w:pPr>
      <w:r w:rsidRPr="00A555B9">
        <w:rPr>
          <w:rFonts w:cs="Arial"/>
          <w:i/>
        </w:rPr>
        <w:t xml:space="preserve">„Z výsledků zprávy vyplývá, že nikotin obsažený v tabákových a nikotinových výrobcích užívá </w:t>
      </w:r>
      <w:r w:rsidR="003D0584">
        <w:rPr>
          <w:rFonts w:cs="Arial"/>
          <w:i/>
        </w:rPr>
        <w:t xml:space="preserve">třetina respondentů (33,1 %) starších 15 let, více než pětina </w:t>
      </w:r>
      <w:r w:rsidRPr="00A555B9">
        <w:rPr>
          <w:rFonts w:cs="Arial"/>
          <w:i/>
        </w:rPr>
        <w:t>(23,0 %)</w:t>
      </w:r>
      <w:r w:rsidR="003D0584">
        <w:rPr>
          <w:rFonts w:cs="Arial"/>
          <w:i/>
        </w:rPr>
        <w:t xml:space="preserve"> denně</w:t>
      </w:r>
      <w:r w:rsidRPr="00A555B9">
        <w:rPr>
          <w:rFonts w:cs="Arial"/>
          <w:i/>
        </w:rPr>
        <w:t xml:space="preserve">. S věkem jeho užívání klesá. </w:t>
      </w:r>
      <w:r w:rsidRPr="00A555B9">
        <w:rPr>
          <w:i/>
        </w:rPr>
        <w:t xml:space="preserve">Nikotin v mozku stimuluje </w:t>
      </w:r>
      <w:r w:rsidRPr="00A555B9">
        <w:rPr>
          <w:rStyle w:val="Siln"/>
          <w:b w:val="0"/>
          <w:i/>
        </w:rPr>
        <w:t>centrum odměny a uvolnění hormonu dopaminu, který krátkodobě způsobuje zlepšení nálady</w:t>
      </w:r>
      <w:r w:rsidRPr="00A555B9">
        <w:rPr>
          <w:rStyle w:val="Siln"/>
          <w:i/>
        </w:rPr>
        <w:t xml:space="preserve"> </w:t>
      </w:r>
      <w:r w:rsidRPr="00A555B9">
        <w:rPr>
          <w:rStyle w:val="Siln"/>
          <w:b w:val="0"/>
          <w:i/>
        </w:rPr>
        <w:t>a koncentrace.</w:t>
      </w:r>
      <w:r w:rsidRPr="00A555B9">
        <w:rPr>
          <w:i/>
        </w:rPr>
        <w:t xml:space="preserve">  Užívání nikotinu má vliv nejen na srdečněcévní systém, kdy dochází ke stažení cév, zvýšení tlaku a zrychlení srdeční akce ale ovlivňuje také trávicí systém tak, že stimuluje trávení a zrychluje pohyb střev. Nikotin je návykový a j</w:t>
      </w:r>
      <w:r w:rsidRPr="00A555B9">
        <w:rPr>
          <w:rStyle w:val="Siln"/>
          <w:b w:val="0"/>
          <w:i/>
        </w:rPr>
        <w:t xml:space="preserve">eho </w:t>
      </w:r>
      <w:r w:rsidRPr="00A555B9">
        <w:rPr>
          <w:i/>
        </w:rPr>
        <w:t>pravidelné užívání vede k rozvoji závislosti.  Po jeho vysazení dochází k</w:t>
      </w:r>
      <w:r w:rsidR="00824D6F">
        <w:rPr>
          <w:i/>
        </w:rPr>
        <w:t> </w:t>
      </w:r>
      <w:r w:rsidRPr="00A555B9">
        <w:rPr>
          <w:i/>
        </w:rPr>
        <w:t>rozvoji</w:t>
      </w:r>
      <w:r w:rsidR="00824D6F">
        <w:rPr>
          <w:i/>
        </w:rPr>
        <w:t xml:space="preserve"> </w:t>
      </w:r>
      <w:r w:rsidRPr="00A555B9">
        <w:rPr>
          <w:i/>
        </w:rPr>
        <w:t>abstinenčních příznaků, které se projevují chutí a myšlenkami na cigaretu či jiný produkt obsahující nikotin, zhoršeným soustředěním, napětím, výkyvy nálad nebo zvýšenou chutí k jídlu“.</w:t>
      </w:r>
    </w:p>
    <w:p w14:paraId="37A537DC" w14:textId="77777777" w:rsidR="00A555B9" w:rsidRDefault="00A555B9" w:rsidP="008B3D86">
      <w:pPr>
        <w:spacing w:after="120"/>
        <w:rPr>
          <w:b/>
        </w:rPr>
      </w:pPr>
    </w:p>
    <w:p w14:paraId="624FA4DA" w14:textId="0797488A" w:rsidR="00700586" w:rsidRPr="001C67ED" w:rsidRDefault="008719EA" w:rsidP="008B3D86">
      <w:pPr>
        <w:spacing w:after="120"/>
        <w:rPr>
          <w:b/>
        </w:rPr>
      </w:pPr>
      <w:r w:rsidRPr="001C67ED">
        <w:rPr>
          <w:b/>
        </w:rPr>
        <w:t>Užívání alkoholu</w:t>
      </w:r>
    </w:p>
    <w:p w14:paraId="3269ABD4" w14:textId="242104F9" w:rsidR="008719EA" w:rsidRDefault="008719EA" w:rsidP="00A555B9">
      <w:pPr>
        <w:spacing w:before="120"/>
        <w:jc w:val="both"/>
        <w:rPr>
          <w:rFonts w:cs="Arial"/>
        </w:rPr>
      </w:pPr>
      <w:r w:rsidRPr="001C67ED">
        <w:rPr>
          <w:rFonts w:cs="Arial"/>
        </w:rPr>
        <w:t>Pití alkoholu má silný vztah ke kouření tabáku. Mezi umírněnými konzumenty alkoholu je jen 23,4 % kuřáků, tedy o 1,2 procentního bodu méně než v celé populaci, avšak mezi rizikově a škodlivě pijícími je kuřáků výrazně více (34,7 %, resp. 48,7 %). U excesivních konzumentů alkoholu se zdravotní rizika násobí kvůli souběžnému působení rizikových faktorů souvisejících s kouřením.</w:t>
      </w:r>
    </w:p>
    <w:p w14:paraId="5D8D2D6E" w14:textId="77777777" w:rsidR="00707E7B" w:rsidRDefault="00707E7B" w:rsidP="00A555B9">
      <w:pPr>
        <w:spacing w:before="120"/>
        <w:jc w:val="both"/>
        <w:rPr>
          <w:rFonts w:cs="Arial"/>
        </w:rPr>
      </w:pPr>
    </w:p>
    <w:p w14:paraId="61763F8E" w14:textId="14A01D35" w:rsidR="00707E7B" w:rsidRPr="00707E7B" w:rsidRDefault="00707E7B" w:rsidP="00A555B9">
      <w:pPr>
        <w:spacing w:before="120"/>
        <w:jc w:val="both"/>
        <w:rPr>
          <w:rFonts w:eastAsia="Times New Roman" w:cs="Times New Roman"/>
          <w:b/>
          <w:bCs/>
          <w:iCs/>
          <w:lang w:eastAsia="cs-CZ"/>
        </w:rPr>
      </w:pPr>
      <w:r w:rsidRPr="00707E7B">
        <w:rPr>
          <w:rFonts w:eastAsia="Times New Roman" w:cs="Times New Roman"/>
          <w:b/>
          <w:bCs/>
          <w:iCs/>
          <w:lang w:eastAsia="cs-CZ"/>
        </w:rPr>
        <w:t>Podíl současných kuřáků tabáku v závislosti na kategorii pití alkoholu</w:t>
      </w:r>
      <w:r>
        <w:rPr>
          <w:rFonts w:eastAsia="Times New Roman" w:cs="Times New Roman"/>
          <w:b/>
          <w:bCs/>
          <w:iCs/>
          <w:lang w:eastAsia="cs-CZ"/>
        </w:rPr>
        <w:t xml:space="preserve"> (rok 2023)</w:t>
      </w:r>
    </w:p>
    <w:p w14:paraId="4C820DA6" w14:textId="72F422BD" w:rsidR="00A0186C" w:rsidRPr="001C67ED" w:rsidRDefault="00A0186C" w:rsidP="00A555B9">
      <w:pPr>
        <w:spacing w:before="120"/>
        <w:jc w:val="both"/>
        <w:rPr>
          <w:rFonts w:cs="Arial"/>
        </w:rPr>
      </w:pPr>
      <w:r w:rsidRPr="00707E7B">
        <w:rPr>
          <w:noProof/>
          <w:lang w:eastAsia="cs-CZ"/>
        </w:rPr>
        <w:drawing>
          <wp:inline distT="0" distB="0" distL="0" distR="0" wp14:anchorId="1AE5AEF7" wp14:editId="2FA773FE">
            <wp:extent cx="6081395" cy="3086100"/>
            <wp:effectExtent l="0" t="0" r="14605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68C13F5" w14:textId="6002B073" w:rsidR="008719EA" w:rsidRPr="00A0186C" w:rsidRDefault="00A0186C" w:rsidP="007A4A0B">
      <w:pPr>
        <w:spacing w:before="120" w:line="240" w:lineRule="auto"/>
        <w:jc w:val="both"/>
        <w:rPr>
          <w:rFonts w:cs="Arial"/>
          <w:noProof/>
          <w:sz w:val="16"/>
          <w:szCs w:val="16"/>
        </w:rPr>
      </w:pPr>
      <w:r>
        <w:rPr>
          <w:rFonts w:cs="Arial"/>
          <w:noProof/>
          <w:sz w:val="16"/>
          <w:szCs w:val="16"/>
        </w:rPr>
        <w:t xml:space="preserve">Pozn.: </w:t>
      </w:r>
      <w:r w:rsidRPr="00A0186C">
        <w:rPr>
          <w:rFonts w:cs="Arial"/>
          <w:noProof/>
          <w:sz w:val="16"/>
          <w:szCs w:val="16"/>
        </w:rPr>
        <w:t xml:space="preserve">Jako umírněné pití je definován průměrný denní příjem alkoholu do 40 g u mužů a do 20 g u žen. Za rizikové pití se považuje denní příjem 40 až 60 g pro muže a 20 až 40 g pro ženy a za škodlivé pití průměrná denní spotřeba více než 60 g u mužů a 40 g u žen. </w:t>
      </w:r>
    </w:p>
    <w:p w14:paraId="7255AB75" w14:textId="77777777" w:rsidR="007A4A0B" w:rsidRDefault="007A4A0B" w:rsidP="00A555B9">
      <w:pPr>
        <w:spacing w:after="120" w:line="240" w:lineRule="auto"/>
        <w:jc w:val="both"/>
        <w:rPr>
          <w:rFonts w:cs="Arial"/>
          <w:b/>
        </w:rPr>
      </w:pPr>
    </w:p>
    <w:p w14:paraId="675745BD" w14:textId="77777777" w:rsidR="00707E7B" w:rsidRDefault="00707E7B" w:rsidP="001C67ED">
      <w:pPr>
        <w:spacing w:after="120"/>
        <w:rPr>
          <w:b/>
          <w:color w:val="auto"/>
        </w:rPr>
      </w:pPr>
    </w:p>
    <w:p w14:paraId="52751EAB" w14:textId="3B528223" w:rsidR="001C67ED" w:rsidRPr="001C67ED" w:rsidRDefault="001C67ED" w:rsidP="001C67ED">
      <w:pPr>
        <w:spacing w:after="120"/>
        <w:rPr>
          <w:b/>
          <w:color w:val="auto"/>
        </w:rPr>
      </w:pPr>
      <w:r w:rsidRPr="001C67ED">
        <w:rPr>
          <w:b/>
          <w:color w:val="auto"/>
        </w:rPr>
        <w:t>Užívání kratomu</w:t>
      </w:r>
    </w:p>
    <w:p w14:paraId="22228EBD" w14:textId="2320E25A" w:rsidR="008774EF" w:rsidRDefault="001C67ED" w:rsidP="00A555B9">
      <w:pPr>
        <w:jc w:val="both"/>
        <w:rPr>
          <w:rFonts w:cs="Arial"/>
          <w:color w:val="auto"/>
        </w:rPr>
      </w:pPr>
      <w:r w:rsidRPr="001C67ED">
        <w:rPr>
          <w:rFonts w:cs="Arial"/>
          <w:color w:val="auto"/>
        </w:rPr>
        <w:t>V roce 2023 jsme do dotazníku zařadili také otázky mapující užívání kratomu, přestože nespadají do kategorie tabákových ani nikotinových výrobků. Kratom je psychoaktivní látka, jejíž popularita roste zejména mezi žáky a studenty. Jeho užívání je třeba monitorovat vzhledem k riziku vzniku závislosti a vedlejším účinkům. Z výsledků vyplývá, že kratom v</w:t>
      </w:r>
      <w:r w:rsidR="00E048B1">
        <w:rPr>
          <w:rFonts w:cs="Arial"/>
          <w:color w:val="auto"/>
        </w:rPr>
        <w:t> roce 2023 užívalo</w:t>
      </w:r>
      <w:r w:rsidRPr="001C67ED">
        <w:rPr>
          <w:rFonts w:cs="Arial"/>
          <w:color w:val="auto"/>
        </w:rPr>
        <w:t xml:space="preserve"> necelé jedno procento dotazovaných (0,8 %), častěji muži (1,1 %) než ženy (0,4 %). Nejvíce uživatelů nacházíme v nejmladší věkové kategorii 15</w:t>
      </w:r>
      <w:r w:rsidRPr="001C67ED">
        <w:rPr>
          <w:rFonts w:eastAsia="Arial Unicode MS" w:cs="Arial"/>
          <w:color w:val="auto"/>
        </w:rPr>
        <w:t>‒</w:t>
      </w:r>
      <w:r w:rsidRPr="001C67ED">
        <w:rPr>
          <w:rFonts w:cs="Arial"/>
          <w:color w:val="auto"/>
        </w:rPr>
        <w:t>24 let (3,2 %)</w:t>
      </w:r>
      <w:r w:rsidR="00E048B1">
        <w:rPr>
          <w:rFonts w:cs="Arial"/>
          <w:color w:val="auto"/>
        </w:rPr>
        <w:t>;</w:t>
      </w:r>
      <w:r w:rsidRPr="001C67ED">
        <w:rPr>
          <w:rFonts w:cs="Arial"/>
          <w:color w:val="auto"/>
        </w:rPr>
        <w:t xml:space="preserve"> 0,5 % uživatelů nacházíme také v nejstarší věkové kategorii nad 65 let. Alespoň jednou zkusilo užít kratom 7,2 % respondentů, ovšem ve věkové kategorii 15</w:t>
      </w:r>
      <w:r w:rsidR="008774EF">
        <w:rPr>
          <w:rFonts w:eastAsia="Arial Unicode MS" w:cs="Arial"/>
          <w:color w:val="auto"/>
        </w:rPr>
        <w:t>–</w:t>
      </w:r>
      <w:r w:rsidRPr="001C67ED">
        <w:rPr>
          <w:rFonts w:cs="Arial"/>
          <w:color w:val="auto"/>
        </w:rPr>
        <w:t xml:space="preserve">24 let </w:t>
      </w:r>
      <w:r w:rsidR="00E048B1">
        <w:rPr>
          <w:rFonts w:cs="Arial"/>
          <w:color w:val="auto"/>
        </w:rPr>
        <w:t xml:space="preserve">je to již </w:t>
      </w:r>
      <w:r w:rsidRPr="001C67ED">
        <w:rPr>
          <w:rFonts w:cs="Arial"/>
          <w:color w:val="auto"/>
        </w:rPr>
        <w:t>více</w:t>
      </w:r>
    </w:p>
    <w:p w14:paraId="51AC7E32" w14:textId="77777777" w:rsidR="008774EF" w:rsidRDefault="008774EF" w:rsidP="00A555B9">
      <w:pPr>
        <w:jc w:val="both"/>
        <w:rPr>
          <w:rFonts w:cs="Arial"/>
          <w:color w:val="auto"/>
        </w:rPr>
      </w:pPr>
    </w:p>
    <w:p w14:paraId="74CA3D71" w14:textId="77777777" w:rsidR="008774EF" w:rsidRDefault="008774EF" w:rsidP="00A555B9">
      <w:pPr>
        <w:jc w:val="both"/>
        <w:rPr>
          <w:rFonts w:cs="Arial"/>
          <w:color w:val="auto"/>
        </w:rPr>
      </w:pPr>
    </w:p>
    <w:p w14:paraId="36EA8FC9" w14:textId="7F7C018E" w:rsidR="001C67ED" w:rsidRPr="001C67ED" w:rsidRDefault="001C67ED" w:rsidP="00A555B9">
      <w:pPr>
        <w:jc w:val="both"/>
        <w:rPr>
          <w:rFonts w:cs="Arial"/>
          <w:color w:val="auto"/>
        </w:rPr>
      </w:pPr>
      <w:r w:rsidRPr="001C67ED">
        <w:rPr>
          <w:rFonts w:cs="Arial"/>
          <w:color w:val="auto"/>
        </w:rPr>
        <w:t>než</w:t>
      </w:r>
      <w:r w:rsidR="00707E7B">
        <w:rPr>
          <w:rFonts w:cs="Arial"/>
          <w:color w:val="auto"/>
        </w:rPr>
        <w:t xml:space="preserve"> </w:t>
      </w:r>
      <w:r w:rsidRPr="001C67ED">
        <w:rPr>
          <w:rFonts w:cs="Arial"/>
          <w:color w:val="auto"/>
        </w:rPr>
        <w:t>čtvrtina (26,7 %)</w:t>
      </w:r>
      <w:r w:rsidR="00E048B1">
        <w:rPr>
          <w:rFonts w:cs="Arial"/>
          <w:color w:val="auto"/>
        </w:rPr>
        <w:t xml:space="preserve"> dotázaných.</w:t>
      </w:r>
      <w:r w:rsidRPr="001C67ED">
        <w:rPr>
          <w:rFonts w:cs="Arial"/>
          <w:color w:val="auto"/>
        </w:rPr>
        <w:t xml:space="preserve"> Mezi nejčastější způsob, jak si tuto látku obstarat, patří internet, kde kratom získ</w:t>
      </w:r>
      <w:r w:rsidR="008774EF">
        <w:rPr>
          <w:rFonts w:cs="Arial"/>
          <w:color w:val="auto"/>
        </w:rPr>
        <w:t>alo</w:t>
      </w:r>
      <w:r w:rsidRPr="001C67ED">
        <w:rPr>
          <w:rFonts w:cs="Arial"/>
          <w:color w:val="auto"/>
        </w:rPr>
        <w:t xml:space="preserve"> 38,6 % uživatelů. </w:t>
      </w:r>
      <w:r w:rsidR="00E048B1">
        <w:rPr>
          <w:rFonts w:cs="Arial"/>
          <w:color w:val="auto"/>
        </w:rPr>
        <w:t>Kromě internetu</w:t>
      </w:r>
      <w:r w:rsidRPr="001C67ED">
        <w:rPr>
          <w:rFonts w:cs="Arial"/>
          <w:color w:val="auto"/>
        </w:rPr>
        <w:t xml:space="preserve"> </w:t>
      </w:r>
      <w:r w:rsidR="00E048B1">
        <w:rPr>
          <w:rFonts w:cs="Arial"/>
          <w:color w:val="auto"/>
        </w:rPr>
        <w:t xml:space="preserve">respondenti často </w:t>
      </w:r>
      <w:r w:rsidRPr="001C67ED">
        <w:rPr>
          <w:rFonts w:cs="Arial"/>
          <w:color w:val="auto"/>
        </w:rPr>
        <w:t xml:space="preserve">nakupují </w:t>
      </w:r>
      <w:r w:rsidR="00E048B1">
        <w:rPr>
          <w:rFonts w:cs="Arial"/>
          <w:color w:val="auto"/>
        </w:rPr>
        <w:t xml:space="preserve">také </w:t>
      </w:r>
      <w:r w:rsidRPr="001C67ED">
        <w:rPr>
          <w:rFonts w:cs="Arial"/>
          <w:color w:val="auto"/>
        </w:rPr>
        <w:t>ve specializovan</w:t>
      </w:r>
      <w:r w:rsidR="00E048B1">
        <w:rPr>
          <w:rFonts w:cs="Arial"/>
          <w:color w:val="auto"/>
        </w:rPr>
        <w:t>ých</w:t>
      </w:r>
      <w:r w:rsidRPr="001C67ED">
        <w:rPr>
          <w:rFonts w:cs="Arial"/>
          <w:color w:val="auto"/>
        </w:rPr>
        <w:t xml:space="preserve"> prodejn</w:t>
      </w:r>
      <w:r w:rsidR="00E048B1">
        <w:rPr>
          <w:rFonts w:cs="Arial"/>
          <w:color w:val="auto"/>
        </w:rPr>
        <w:t>ách</w:t>
      </w:r>
      <w:r w:rsidRPr="001C67ED">
        <w:rPr>
          <w:rFonts w:cs="Arial"/>
          <w:color w:val="auto"/>
        </w:rPr>
        <w:t xml:space="preserve">. </w:t>
      </w:r>
      <w:r w:rsidR="008774EF">
        <w:rPr>
          <w:rFonts w:cs="Arial"/>
          <w:color w:val="auto"/>
        </w:rPr>
        <w:t xml:space="preserve">Možnost získat kratom prostřednictvím nákupního automatu v roce 2023 volily pouze mladší věkové kategorie 15–24 let (15 %) a 25–44 let (13,3 %).  </w:t>
      </w:r>
    </w:p>
    <w:p w14:paraId="07887933" w14:textId="199E5E9D" w:rsidR="001C67ED" w:rsidRPr="001C67ED" w:rsidRDefault="001C67ED" w:rsidP="001C67ED">
      <w:pPr>
        <w:spacing w:line="240" w:lineRule="auto"/>
        <w:jc w:val="both"/>
        <w:rPr>
          <w:rFonts w:cs="Arial"/>
          <w:color w:val="auto"/>
        </w:rPr>
      </w:pPr>
    </w:p>
    <w:p w14:paraId="2DF7A430" w14:textId="77777777" w:rsidR="00707E7B" w:rsidRDefault="00707E7B" w:rsidP="001C67ED">
      <w:pPr>
        <w:spacing w:after="120"/>
        <w:rPr>
          <w:b/>
          <w:color w:val="auto"/>
        </w:rPr>
      </w:pPr>
    </w:p>
    <w:p w14:paraId="055AF3F8" w14:textId="7AA1D865" w:rsidR="001C67ED" w:rsidRPr="001C67ED" w:rsidRDefault="001C67ED" w:rsidP="001C67ED">
      <w:pPr>
        <w:spacing w:after="120"/>
        <w:rPr>
          <w:b/>
          <w:color w:val="auto"/>
        </w:rPr>
      </w:pPr>
      <w:r w:rsidRPr="001C67ED">
        <w:rPr>
          <w:b/>
          <w:color w:val="auto"/>
        </w:rPr>
        <w:t>Prevalence užívání kratomu v ČR podle věkových skupin (rok 2023)</w:t>
      </w:r>
    </w:p>
    <w:p w14:paraId="6BA072A4" w14:textId="51247E1D" w:rsidR="001C67ED" w:rsidRPr="001C67ED" w:rsidRDefault="001C67ED" w:rsidP="001C67ED">
      <w:pPr>
        <w:spacing w:line="240" w:lineRule="auto"/>
        <w:jc w:val="both"/>
        <w:rPr>
          <w:rFonts w:cs="Arial"/>
          <w:color w:val="auto"/>
        </w:rPr>
      </w:pPr>
      <w:r w:rsidRPr="001C67ED">
        <w:rPr>
          <w:noProof/>
          <w:lang w:eastAsia="cs-CZ"/>
        </w:rPr>
        <w:drawing>
          <wp:inline distT="0" distB="0" distL="0" distR="0" wp14:anchorId="000706FE" wp14:editId="6CE0797E">
            <wp:extent cx="4752975" cy="2924175"/>
            <wp:effectExtent l="0" t="0" r="9525" b="9525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D31FC8B" w14:textId="3FADC49C" w:rsidR="001C67ED" w:rsidRPr="00A555B9" w:rsidRDefault="001C67ED" w:rsidP="00A555B9">
      <w:pPr>
        <w:spacing w:before="120" w:line="240" w:lineRule="auto"/>
        <w:rPr>
          <w:rStyle w:val="hps"/>
          <w:sz w:val="16"/>
          <w:szCs w:val="16"/>
        </w:rPr>
      </w:pPr>
      <w:r w:rsidRPr="00A555B9">
        <w:rPr>
          <w:rFonts w:cs="Arial"/>
          <w:sz w:val="16"/>
          <w:szCs w:val="16"/>
        </w:rPr>
        <w:t xml:space="preserve">Pozn.: Zahrnuje </w:t>
      </w:r>
      <w:r w:rsidRPr="00A555B9">
        <w:rPr>
          <w:rStyle w:val="hps"/>
          <w:sz w:val="16"/>
          <w:szCs w:val="16"/>
        </w:rPr>
        <w:t>každodenní</w:t>
      </w:r>
      <w:r w:rsidRPr="00A555B9">
        <w:rPr>
          <w:rFonts w:cs="Arial"/>
          <w:sz w:val="16"/>
          <w:szCs w:val="16"/>
        </w:rPr>
        <w:t xml:space="preserve"> </w:t>
      </w:r>
      <w:r w:rsidRPr="00A555B9">
        <w:rPr>
          <w:rStyle w:val="hps"/>
          <w:sz w:val="16"/>
          <w:szCs w:val="16"/>
        </w:rPr>
        <w:t>i příležitostné</w:t>
      </w:r>
      <w:r w:rsidRPr="00A555B9">
        <w:rPr>
          <w:rFonts w:cs="Arial"/>
          <w:sz w:val="16"/>
          <w:szCs w:val="16"/>
        </w:rPr>
        <w:t xml:space="preserve"> </w:t>
      </w:r>
      <w:r w:rsidRPr="00A555B9">
        <w:rPr>
          <w:rStyle w:val="hps"/>
          <w:sz w:val="16"/>
          <w:szCs w:val="16"/>
        </w:rPr>
        <w:t>(</w:t>
      </w:r>
      <w:r w:rsidR="004D225C">
        <w:rPr>
          <w:rStyle w:val="hps"/>
          <w:sz w:val="16"/>
          <w:szCs w:val="16"/>
        </w:rPr>
        <w:t xml:space="preserve">tj. </w:t>
      </w:r>
      <w:r w:rsidRPr="00A555B9">
        <w:rPr>
          <w:rFonts w:cs="Arial"/>
          <w:sz w:val="16"/>
          <w:szCs w:val="16"/>
        </w:rPr>
        <w:t xml:space="preserve">méně často než denně, ale alespoň jednou měsíčně) </w:t>
      </w:r>
      <w:r w:rsidRPr="00A555B9">
        <w:rPr>
          <w:rStyle w:val="hps"/>
          <w:sz w:val="16"/>
          <w:szCs w:val="16"/>
        </w:rPr>
        <w:t>užívání kratomu a uživatele, kteří zkusili užít kratom, byť jen jednou</w:t>
      </w:r>
      <w:r w:rsidR="00824D6F">
        <w:rPr>
          <w:rStyle w:val="hps"/>
          <w:sz w:val="16"/>
          <w:szCs w:val="16"/>
        </w:rPr>
        <w:t>.</w:t>
      </w:r>
    </w:p>
    <w:p w14:paraId="5E938A6A" w14:textId="77777777" w:rsidR="001C67ED" w:rsidRPr="001C67ED" w:rsidRDefault="001C67ED" w:rsidP="001C67ED">
      <w:pPr>
        <w:spacing w:line="240" w:lineRule="auto"/>
        <w:jc w:val="both"/>
        <w:rPr>
          <w:rFonts w:cs="Arial"/>
          <w:color w:val="auto"/>
        </w:rPr>
      </w:pPr>
    </w:p>
    <w:p w14:paraId="6CF8F367" w14:textId="0FDD469C" w:rsidR="001C67ED" w:rsidRPr="001C67ED" w:rsidRDefault="001C67ED" w:rsidP="001C67ED">
      <w:pPr>
        <w:jc w:val="both"/>
        <w:rPr>
          <w:rFonts w:cs="Arial"/>
          <w:color w:val="auto"/>
        </w:rPr>
      </w:pPr>
    </w:p>
    <w:p w14:paraId="6E3EF6E0" w14:textId="77777777" w:rsidR="001C67ED" w:rsidRPr="008719EA" w:rsidRDefault="001C67ED" w:rsidP="001C67ED">
      <w:pPr>
        <w:jc w:val="both"/>
      </w:pPr>
      <w:r w:rsidRPr="008719EA">
        <w:t>Údaje výzkumu byly získány od výběrového souboru 1812 jedinců. Výzkum je reprezentativní pro obyvatelstvo České republiky ve věku nad 15 let z hlediska věku, pohlaví a regionální příslušnosti.</w:t>
      </w:r>
    </w:p>
    <w:p w14:paraId="5F433481" w14:textId="77777777" w:rsidR="003F447F" w:rsidRPr="00D62483" w:rsidRDefault="003F447F" w:rsidP="00D62483"/>
    <w:sectPr w:rsidR="003F447F" w:rsidRPr="00D62483" w:rsidSect="009A4D8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2552" w:right="1134" w:bottom="2268" w:left="1134" w:header="119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3D05F" w14:textId="77777777" w:rsidR="006F38ED" w:rsidRDefault="006F38ED" w:rsidP="00D62483">
      <w:r>
        <w:separator/>
      </w:r>
    </w:p>
  </w:endnote>
  <w:endnote w:type="continuationSeparator" w:id="0">
    <w:p w14:paraId="2EED094E" w14:textId="77777777" w:rsidR="006F38ED" w:rsidRDefault="006F38ED" w:rsidP="00D6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ulish"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Arial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Public Sans">
    <w:panose1 w:val="00000000000000000000"/>
    <w:charset w:val="00"/>
    <w:family w:val="auto"/>
    <w:notTrueType/>
    <w:pitch w:val="variable"/>
    <w:sig w:usb0="20000007" w:usb1="00000000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B4194" w14:textId="77777777" w:rsidR="00023160" w:rsidRDefault="000231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C6D24" w14:textId="77777777" w:rsidR="005B6F48" w:rsidRDefault="005B6F48" w:rsidP="002845DE">
    <w:pPr>
      <w:pStyle w:val="Zpat"/>
      <w:jc w:val="center"/>
      <w:rPr>
        <w:rFonts w:cs="Minion Pro"/>
        <w:b/>
        <w:bCs/>
        <w:color w:val="005984"/>
        <w:sz w:val="15"/>
        <w:szCs w:val="15"/>
      </w:rPr>
    </w:pPr>
  </w:p>
  <w:p w14:paraId="06BE6134" w14:textId="77777777" w:rsidR="005B6F48" w:rsidRDefault="005B6F48" w:rsidP="002845DE">
    <w:pPr>
      <w:pStyle w:val="Zpat"/>
      <w:jc w:val="center"/>
      <w:rPr>
        <w:rFonts w:cs="Minion Pro"/>
        <w:b/>
        <w:bCs/>
        <w:color w:val="005984"/>
        <w:sz w:val="15"/>
        <w:szCs w:val="15"/>
      </w:rPr>
    </w:pPr>
  </w:p>
  <w:p w14:paraId="1E1AFBB9" w14:textId="0EA34DEC" w:rsidR="005B6F48" w:rsidRDefault="000A70E6" w:rsidP="005B6F48">
    <w:pPr>
      <w:pStyle w:val="Zpat"/>
      <w:jc w:val="center"/>
      <w:rPr>
        <w:rFonts w:cs="Minion Pro"/>
        <w:b/>
        <w:bCs/>
        <w:color w:val="005984"/>
        <w:sz w:val="15"/>
        <w:szCs w:val="15"/>
      </w:rPr>
    </w:pPr>
    <w:r>
      <w:rPr>
        <w:rFonts w:cs="Minion Pro"/>
        <w:b/>
        <w:bCs/>
        <w:noProof/>
        <w:color w:val="005984"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F10D22" wp14:editId="5F80D9FD">
              <wp:simplePos x="0" y="0"/>
              <wp:positionH relativeFrom="column">
                <wp:posOffset>-15620</wp:posOffset>
              </wp:positionH>
              <wp:positionV relativeFrom="paragraph">
                <wp:posOffset>94399</wp:posOffset>
              </wp:positionV>
              <wp:extent cx="6100577" cy="7936"/>
              <wp:effectExtent l="0" t="0" r="0" b="0"/>
              <wp:wrapSquare wrapText="bothSides"/>
              <wp:docPr id="38" name="Obdélník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0577" cy="7936"/>
                      </a:xfrm>
                      <a:prstGeom prst="rect">
                        <a:avLst/>
                      </a:prstGeom>
                      <a:solidFill>
                        <a:srgbClr val="00598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0E641BE7" id="Obdélník 38" o:spid="_x0000_s1026" style="position:absolute;margin-left:-1.25pt;margin-top:7.45pt;width:480.35pt;height: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" fillcolor="#005984" stroked="f" strokeweight="1pt">
              <w10:wrap type="square"/>
            </v:rect>
          </w:pict>
        </mc:Fallback>
      </mc:AlternateContent>
    </w:r>
  </w:p>
  <w:p w14:paraId="4192EE65" w14:textId="15376F07" w:rsidR="00861B49" w:rsidRPr="006F4AEE" w:rsidRDefault="00023160" w:rsidP="006F4AEE">
    <w:pPr>
      <w:pStyle w:val="Zpat"/>
      <w:jc w:val="center"/>
      <w:rPr>
        <w:rFonts w:cs="Minion Pro"/>
        <w:color w:val="005984"/>
        <w:sz w:val="15"/>
        <w:szCs w:val="15"/>
      </w:rPr>
    </w:pPr>
    <w:r w:rsidRPr="0032422F">
      <w:rPr>
        <w:rFonts w:cs="Minion Pro"/>
        <w:b/>
        <w:bCs/>
        <w:color w:val="005984"/>
        <w:sz w:val="15"/>
        <w:szCs w:val="15"/>
      </w:rPr>
      <w:t>Státní zdravotní ústav</w:t>
    </w:r>
    <w:r w:rsidRPr="00450EDF">
      <w:rPr>
        <w:rFonts w:cs="Minion Pro"/>
        <w:color w:val="005984"/>
        <w:sz w:val="15"/>
        <w:szCs w:val="15"/>
      </w:rPr>
      <w:t xml:space="preserve">, </w:t>
    </w:r>
    <w:r w:rsidR="006943CA" w:rsidRPr="006943CA">
      <w:rPr>
        <w:rFonts w:cs="Minion Pro"/>
        <w:color w:val="005984"/>
        <w:sz w:val="15"/>
        <w:szCs w:val="15"/>
      </w:rPr>
      <w:t>Šrobárova 49/48, 100 00 Praha 10-Vinohrady</w:t>
    </w:r>
    <w:r w:rsidRPr="00450EDF">
      <w:rPr>
        <w:rFonts w:cs="Minion Pro"/>
        <w:color w:val="005984"/>
        <w:sz w:val="15"/>
        <w:szCs w:val="15"/>
      </w:rPr>
      <w:t>, Česká republika, Tel.: +420 267 081 111,</w:t>
    </w:r>
    <w:r w:rsidR="006F4AEE">
      <w:rPr>
        <w:rFonts w:cs="Minion Pro"/>
        <w:color w:val="005984"/>
        <w:sz w:val="15"/>
        <w:szCs w:val="15"/>
      </w:rPr>
      <w:t xml:space="preserve"> </w:t>
    </w:r>
    <w:r w:rsidRPr="00450EDF">
      <w:rPr>
        <w:rFonts w:cs="Minion Pro"/>
        <w:color w:val="005984"/>
        <w:sz w:val="15"/>
        <w:szCs w:val="15"/>
      </w:rPr>
      <w:t xml:space="preserve">E-mail: zdravust@szu.cz </w:t>
    </w:r>
    <w:hyperlink r:id="rId1" w:history="1">
      <w:r w:rsidRPr="00506942">
        <w:rPr>
          <w:rStyle w:val="Hypertextovodkaz"/>
          <w:rFonts w:cs="Minion Pro"/>
          <w:b/>
          <w:bCs/>
          <w:color w:val="005984"/>
          <w:sz w:val="15"/>
          <w:szCs w:val="15"/>
        </w:rPr>
        <w:t>www.szu.cz</w:t>
      </w:r>
    </w:hyperlink>
    <w:r>
      <w:rPr>
        <w:rFonts w:cs="Minion Pro"/>
        <w:b/>
        <w:bCs/>
        <w:color w:val="005984"/>
        <w:sz w:val="15"/>
        <w:szCs w:val="15"/>
      </w:rPr>
      <w:t xml:space="preserve">, </w:t>
    </w:r>
    <w:r w:rsidRPr="00861B49">
      <w:rPr>
        <w:rFonts w:cs="Minion Pro"/>
        <w:color w:val="005984"/>
        <w:sz w:val="15"/>
        <w:szCs w:val="15"/>
      </w:rPr>
      <w:t>IČO:</w:t>
    </w:r>
    <w:r>
      <w:rPr>
        <w:rFonts w:cs="Minion Pro"/>
        <w:color w:val="005984"/>
        <w:sz w:val="15"/>
        <w:szCs w:val="15"/>
      </w:rPr>
      <w:t xml:space="preserve"> 75010330, č. účtu: 1730101/0710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C33DD" w14:textId="77777777" w:rsidR="00023160" w:rsidRDefault="000231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AE2EA" w14:textId="77777777" w:rsidR="006F38ED" w:rsidRDefault="006F38ED" w:rsidP="00D62483">
      <w:r>
        <w:separator/>
      </w:r>
    </w:p>
  </w:footnote>
  <w:footnote w:type="continuationSeparator" w:id="0">
    <w:p w14:paraId="0C034F0D" w14:textId="77777777" w:rsidR="006F38ED" w:rsidRDefault="006F38ED" w:rsidP="00D62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8257B" w14:textId="77777777" w:rsidR="00023160" w:rsidRDefault="000231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3F76C" w14:textId="3ADDF6F5" w:rsidR="00E54835" w:rsidRPr="001A44BC" w:rsidRDefault="009D2890" w:rsidP="00356434">
    <w:pPr>
      <w:pStyle w:val="hlavickaadresaSZ"/>
      <w:tabs>
        <w:tab w:val="center" w:pos="4820"/>
      </w:tabs>
      <w:jc w:val="left"/>
    </w:pPr>
    <w:r w:rsidRPr="009D2890">
      <w:rPr>
        <w:b/>
        <w:bCs/>
        <w:noProof/>
        <w:sz w:val="28"/>
        <w:szCs w:val="28"/>
        <w:lang w:eastAsia="cs-CZ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33D0835" wp14:editId="7D997A82">
              <wp:simplePos x="0" y="0"/>
              <wp:positionH relativeFrom="column">
                <wp:posOffset>1990090</wp:posOffset>
              </wp:positionH>
              <wp:positionV relativeFrom="paragraph">
                <wp:posOffset>101600</wp:posOffset>
              </wp:positionV>
              <wp:extent cx="2148840" cy="1404620"/>
              <wp:effectExtent l="0" t="0" r="381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88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1619D5" w14:textId="5A808F11" w:rsidR="009D2890" w:rsidRPr="009D2890" w:rsidRDefault="009D2890">
                          <w:pPr>
                            <w:rPr>
                              <w:color w:val="005984"/>
                            </w:rPr>
                          </w:pPr>
                          <w:r w:rsidRPr="009D2890">
                            <w:rPr>
                              <w:b/>
                              <w:bCs/>
                              <w:color w:val="005984"/>
                              <w:sz w:val="28"/>
                              <w:szCs w:val="28"/>
                            </w:rPr>
                            <w:t>Státní zdravotní ústav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33D083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56.7pt;margin-top:8pt;width:169.2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" stroked="f">
              <v:textbox style="mso-fit-shape-to-text:t">
                <w:txbxContent>
                  <w:p w14:paraId="2D1619D5" w14:textId="5A808F11" w:rsidR="009D2890" w:rsidRPr="009D2890" w:rsidRDefault="009D2890">
                    <w:pPr>
                      <w:rPr>
                        <w:color w:val="005984"/>
                      </w:rPr>
                    </w:pPr>
                    <w:r w:rsidRPr="009D2890">
                      <w:rPr>
                        <w:b/>
                        <w:bCs/>
                        <w:color w:val="005984"/>
                        <w:sz w:val="28"/>
                        <w:szCs w:val="28"/>
                      </w:rPr>
                      <w:t>Státní zdravotní ústav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54835" w:rsidRPr="004120FA">
      <w:rPr>
        <w:noProof/>
        <w:lang w:eastAsia="cs-CZ"/>
      </w:rPr>
      <w:drawing>
        <wp:anchor distT="0" distB="0" distL="114300" distR="114300" simplePos="0" relativeHeight="251657216" behindDoc="0" locked="0" layoutInCell="1" allowOverlap="0" wp14:anchorId="275F7568" wp14:editId="5F8AD08C">
          <wp:simplePos x="0" y="0"/>
          <wp:positionH relativeFrom="leftMargin">
            <wp:posOffset>390525</wp:posOffset>
          </wp:positionH>
          <wp:positionV relativeFrom="topMargin">
            <wp:posOffset>233680</wp:posOffset>
          </wp:positionV>
          <wp:extent cx="1626021" cy="1619250"/>
          <wp:effectExtent l="0" t="0" r="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021" cy="161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F6D1F" w14:textId="77777777" w:rsidR="00023160" w:rsidRDefault="000231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14174"/>
    <w:multiLevelType w:val="multilevel"/>
    <w:tmpl w:val="6226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35"/>
    <w:rsid w:val="00014252"/>
    <w:rsid w:val="00023160"/>
    <w:rsid w:val="000443B6"/>
    <w:rsid w:val="00054DB7"/>
    <w:rsid w:val="00057A99"/>
    <w:rsid w:val="00080E77"/>
    <w:rsid w:val="000A70E6"/>
    <w:rsid w:val="000C04B1"/>
    <w:rsid w:val="000C262E"/>
    <w:rsid w:val="000F1CA0"/>
    <w:rsid w:val="00122F65"/>
    <w:rsid w:val="00131FF8"/>
    <w:rsid w:val="00151063"/>
    <w:rsid w:val="0015411D"/>
    <w:rsid w:val="00154525"/>
    <w:rsid w:val="001A44BC"/>
    <w:rsid w:val="001B3D7F"/>
    <w:rsid w:val="001B5256"/>
    <w:rsid w:val="001C67ED"/>
    <w:rsid w:val="001F5180"/>
    <w:rsid w:val="001F71AA"/>
    <w:rsid w:val="00203B5D"/>
    <w:rsid w:val="00210972"/>
    <w:rsid w:val="002845DE"/>
    <w:rsid w:val="002F70D4"/>
    <w:rsid w:val="00314D52"/>
    <w:rsid w:val="00320385"/>
    <w:rsid w:val="0032370A"/>
    <w:rsid w:val="0032422F"/>
    <w:rsid w:val="003269A1"/>
    <w:rsid w:val="003358F1"/>
    <w:rsid w:val="00356434"/>
    <w:rsid w:val="0036259F"/>
    <w:rsid w:val="00380C5D"/>
    <w:rsid w:val="00387879"/>
    <w:rsid w:val="003D0584"/>
    <w:rsid w:val="003D6C5D"/>
    <w:rsid w:val="003E37E3"/>
    <w:rsid w:val="003E66E4"/>
    <w:rsid w:val="003F447F"/>
    <w:rsid w:val="004120FA"/>
    <w:rsid w:val="00450EDF"/>
    <w:rsid w:val="004C3B5B"/>
    <w:rsid w:val="004D225C"/>
    <w:rsid w:val="005010D8"/>
    <w:rsid w:val="005057AC"/>
    <w:rsid w:val="00506942"/>
    <w:rsid w:val="00544A91"/>
    <w:rsid w:val="00554E8D"/>
    <w:rsid w:val="00561E65"/>
    <w:rsid w:val="00580A44"/>
    <w:rsid w:val="00597EA0"/>
    <w:rsid w:val="005A2108"/>
    <w:rsid w:val="005A7C7F"/>
    <w:rsid w:val="005B6ECF"/>
    <w:rsid w:val="005B6F48"/>
    <w:rsid w:val="005D0429"/>
    <w:rsid w:val="006174A9"/>
    <w:rsid w:val="00656A73"/>
    <w:rsid w:val="006943CA"/>
    <w:rsid w:val="00695442"/>
    <w:rsid w:val="006A0EE5"/>
    <w:rsid w:val="006B3B1F"/>
    <w:rsid w:val="006F38ED"/>
    <w:rsid w:val="006F4AEE"/>
    <w:rsid w:val="00700586"/>
    <w:rsid w:val="00707E7B"/>
    <w:rsid w:val="0071025F"/>
    <w:rsid w:val="00714938"/>
    <w:rsid w:val="00720E17"/>
    <w:rsid w:val="00733C81"/>
    <w:rsid w:val="007439C3"/>
    <w:rsid w:val="00745DF2"/>
    <w:rsid w:val="007673F2"/>
    <w:rsid w:val="007A4A0B"/>
    <w:rsid w:val="007C4C82"/>
    <w:rsid w:val="00824D6F"/>
    <w:rsid w:val="00826F9B"/>
    <w:rsid w:val="00861B49"/>
    <w:rsid w:val="008719EA"/>
    <w:rsid w:val="008724A5"/>
    <w:rsid w:val="008774EF"/>
    <w:rsid w:val="008B3D86"/>
    <w:rsid w:val="008C3D3C"/>
    <w:rsid w:val="008C47B8"/>
    <w:rsid w:val="008C4F16"/>
    <w:rsid w:val="008C65B7"/>
    <w:rsid w:val="008D3E22"/>
    <w:rsid w:val="008E46BC"/>
    <w:rsid w:val="008F236A"/>
    <w:rsid w:val="0093341D"/>
    <w:rsid w:val="009A4D82"/>
    <w:rsid w:val="009B6A4B"/>
    <w:rsid w:val="009B6D13"/>
    <w:rsid w:val="009C38D4"/>
    <w:rsid w:val="009D2890"/>
    <w:rsid w:val="009D3B3A"/>
    <w:rsid w:val="009E26E1"/>
    <w:rsid w:val="009F186B"/>
    <w:rsid w:val="009F1FB1"/>
    <w:rsid w:val="009F2B5E"/>
    <w:rsid w:val="00A0186C"/>
    <w:rsid w:val="00A315FB"/>
    <w:rsid w:val="00A31B41"/>
    <w:rsid w:val="00A42F45"/>
    <w:rsid w:val="00A4615C"/>
    <w:rsid w:val="00A555B9"/>
    <w:rsid w:val="00A611CA"/>
    <w:rsid w:val="00A80455"/>
    <w:rsid w:val="00AA54EA"/>
    <w:rsid w:val="00AD34E5"/>
    <w:rsid w:val="00B06942"/>
    <w:rsid w:val="00B50024"/>
    <w:rsid w:val="00B72EAB"/>
    <w:rsid w:val="00BA72A0"/>
    <w:rsid w:val="00C015B1"/>
    <w:rsid w:val="00C264EC"/>
    <w:rsid w:val="00C43F66"/>
    <w:rsid w:val="00C54E1E"/>
    <w:rsid w:val="00C60FA4"/>
    <w:rsid w:val="00C62D51"/>
    <w:rsid w:val="00C84F5E"/>
    <w:rsid w:val="00C95C9A"/>
    <w:rsid w:val="00CA766E"/>
    <w:rsid w:val="00CE1B91"/>
    <w:rsid w:val="00D03250"/>
    <w:rsid w:val="00D21BA3"/>
    <w:rsid w:val="00D45DC4"/>
    <w:rsid w:val="00D55D74"/>
    <w:rsid w:val="00D62483"/>
    <w:rsid w:val="00DD4950"/>
    <w:rsid w:val="00E048B1"/>
    <w:rsid w:val="00E06C6D"/>
    <w:rsid w:val="00E2357E"/>
    <w:rsid w:val="00E24363"/>
    <w:rsid w:val="00E40772"/>
    <w:rsid w:val="00E51267"/>
    <w:rsid w:val="00E54835"/>
    <w:rsid w:val="00E6736A"/>
    <w:rsid w:val="00E854DE"/>
    <w:rsid w:val="00E91C00"/>
    <w:rsid w:val="00EA71E2"/>
    <w:rsid w:val="00EC0707"/>
    <w:rsid w:val="00ED17F8"/>
    <w:rsid w:val="00F52595"/>
    <w:rsid w:val="00F526AE"/>
    <w:rsid w:val="00F879CB"/>
    <w:rsid w:val="00F9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C355D"/>
  <w15:chartTrackingRefBased/>
  <w15:docId w15:val="{AF61433E-F211-4020-9828-37CC0702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0C5D"/>
    <w:pPr>
      <w:autoSpaceDE w:val="0"/>
      <w:autoSpaceDN w:val="0"/>
      <w:adjustRightInd w:val="0"/>
      <w:spacing w:after="0" w:line="288" w:lineRule="auto"/>
      <w:textAlignment w:val="center"/>
    </w:pPr>
    <w:rPr>
      <w:rFonts w:ascii="Mulish" w:hAnsi="Mulish" w:cs="Mulish"/>
      <w:color w:val="000000" w:themeColor="text1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80C5D"/>
    <w:pPr>
      <w:keepNext/>
      <w:keepLines/>
      <w:spacing w:before="240"/>
      <w:outlineLvl w:val="0"/>
    </w:pPr>
    <w:rPr>
      <w:rFonts w:eastAsiaTheme="majorEastAsia" w:cstheme="majorBidi"/>
      <w:b/>
      <w:color w:val="005984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0C5D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80C5D"/>
    <w:pPr>
      <w:keepNext/>
      <w:keepLines/>
      <w:spacing w:before="40"/>
      <w:outlineLvl w:val="2"/>
    </w:pPr>
    <w:rPr>
      <w:rFonts w:eastAsiaTheme="majorEastAsia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E26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58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483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4835"/>
  </w:style>
  <w:style w:type="paragraph" w:styleId="Zpat">
    <w:name w:val="footer"/>
    <w:basedOn w:val="Normln"/>
    <w:link w:val="ZpatChar"/>
    <w:uiPriority w:val="99"/>
    <w:unhideWhenUsed/>
    <w:rsid w:val="00E5483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4835"/>
  </w:style>
  <w:style w:type="paragraph" w:customStyle="1" w:styleId="Zkladnodstavec">
    <w:name w:val="[Základní odstavec]"/>
    <w:basedOn w:val="Normln"/>
    <w:link w:val="ZkladnodstavecChar"/>
    <w:uiPriority w:val="99"/>
    <w:rsid w:val="00D03250"/>
    <w:rPr>
      <w:rFonts w:ascii="Minion Pro" w:hAnsi="Minion Pro" w:cs="Minion Pro"/>
      <w:color w:val="000000"/>
      <w:sz w:val="24"/>
      <w:szCs w:val="24"/>
    </w:rPr>
  </w:style>
  <w:style w:type="character" w:customStyle="1" w:styleId="modryvyznaceni">
    <w:name w:val="modry vyznaceni"/>
    <w:uiPriority w:val="99"/>
    <w:rsid w:val="00203B5D"/>
    <w:rPr>
      <w:rFonts w:ascii="Public Sans" w:hAnsi="Public Sans" w:cs="Public Sans"/>
      <w:color w:val="0BB1D3"/>
      <w:sz w:val="20"/>
      <w:szCs w:val="20"/>
      <w:lang w:val="cs-CZ"/>
    </w:rPr>
  </w:style>
  <w:style w:type="paragraph" w:customStyle="1" w:styleId="NadpisSZ">
    <w:name w:val="Nadpis SZÚ"/>
    <w:basedOn w:val="Normln"/>
    <w:link w:val="NadpisSZChar"/>
    <w:rsid w:val="00380C5D"/>
    <w:rPr>
      <w:b/>
      <w:bCs/>
      <w:color w:val="005984"/>
      <w:sz w:val="32"/>
      <w:szCs w:val="32"/>
    </w:rPr>
  </w:style>
  <w:style w:type="paragraph" w:customStyle="1" w:styleId="textSZ">
    <w:name w:val="text SZÚ"/>
    <w:basedOn w:val="Zkladnodstavec"/>
    <w:link w:val="textSZChar"/>
    <w:rsid w:val="00380C5D"/>
    <w:rPr>
      <w:rFonts w:ascii="Mulish" w:hAnsi="Mulish" w:cs="Mulish"/>
      <w:color w:val="auto"/>
      <w:sz w:val="20"/>
      <w:szCs w:val="20"/>
    </w:rPr>
  </w:style>
  <w:style w:type="character" w:customStyle="1" w:styleId="NadpisSZChar">
    <w:name w:val="Nadpis SZÚ Char"/>
    <w:basedOn w:val="Standardnpsmoodstavce"/>
    <w:link w:val="NadpisSZ"/>
    <w:rsid w:val="00380C5D"/>
    <w:rPr>
      <w:rFonts w:ascii="Mulish" w:hAnsi="Mulish" w:cs="Mulish"/>
      <w:b/>
      <w:bCs/>
      <w:color w:val="005984"/>
      <w:sz w:val="32"/>
      <w:szCs w:val="32"/>
    </w:rPr>
  </w:style>
  <w:style w:type="paragraph" w:styleId="Bezmezer">
    <w:name w:val="No Spacing"/>
    <w:uiPriority w:val="1"/>
    <w:rsid w:val="00D62483"/>
    <w:pPr>
      <w:autoSpaceDE w:val="0"/>
      <w:autoSpaceDN w:val="0"/>
      <w:adjustRightInd w:val="0"/>
      <w:spacing w:after="0" w:line="240" w:lineRule="auto"/>
      <w:textAlignment w:val="center"/>
    </w:pPr>
    <w:rPr>
      <w:rFonts w:ascii="Mulish" w:hAnsi="Mulish" w:cs="Mulish"/>
      <w:color w:val="575756"/>
      <w:sz w:val="20"/>
      <w:szCs w:val="20"/>
    </w:rPr>
  </w:style>
  <w:style w:type="character" w:customStyle="1" w:styleId="ZkladnodstavecChar">
    <w:name w:val="[Základní odstavec] Char"/>
    <w:basedOn w:val="Standardnpsmoodstavce"/>
    <w:link w:val="Zkladnodstavec"/>
    <w:uiPriority w:val="99"/>
    <w:rsid w:val="00D62483"/>
    <w:rPr>
      <w:rFonts w:ascii="Minion Pro" w:hAnsi="Minion Pro" w:cs="Minion Pro"/>
      <w:color w:val="000000"/>
      <w:sz w:val="24"/>
      <w:szCs w:val="24"/>
    </w:rPr>
  </w:style>
  <w:style w:type="character" w:customStyle="1" w:styleId="textSZChar">
    <w:name w:val="text SZÚ Char"/>
    <w:basedOn w:val="ZkladnodstavecChar"/>
    <w:link w:val="textSZ"/>
    <w:rsid w:val="00380C5D"/>
    <w:rPr>
      <w:rFonts w:ascii="Mulish" w:hAnsi="Mulish" w:cs="Mulish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380C5D"/>
    <w:rPr>
      <w:rFonts w:ascii="Mulish" w:eastAsiaTheme="majorEastAsia" w:hAnsi="Mulish" w:cstheme="majorBidi"/>
      <w:b/>
      <w:color w:val="005984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80C5D"/>
    <w:rPr>
      <w:rFonts w:ascii="Mulish" w:eastAsiaTheme="majorEastAsia" w:hAnsi="Mulish" w:cstheme="majorBidi"/>
      <w:b/>
      <w:color w:val="000000" w:themeColor="text1"/>
      <w:sz w:val="26"/>
      <w:szCs w:val="26"/>
    </w:rPr>
  </w:style>
  <w:style w:type="paragraph" w:customStyle="1" w:styleId="hlavickaadresaSZ">
    <w:name w:val="hlavicka_adresa_SZÚ"/>
    <w:basedOn w:val="Zkladnodstavec"/>
    <w:link w:val="hlavickaadresaSZChar"/>
    <w:rsid w:val="00380C5D"/>
    <w:pPr>
      <w:jc w:val="right"/>
    </w:pPr>
    <w:rPr>
      <w:rFonts w:ascii="Mulish" w:hAnsi="Mulish"/>
      <w:color w:val="005984"/>
      <w:sz w:val="16"/>
      <w:szCs w:val="16"/>
    </w:rPr>
  </w:style>
  <w:style w:type="paragraph" w:customStyle="1" w:styleId="zapatitext">
    <w:name w:val="zapati_text"/>
    <w:basedOn w:val="Zkladnodstavec"/>
    <w:link w:val="zapatitextChar"/>
    <w:qFormat/>
    <w:rsid w:val="00210972"/>
    <w:pPr>
      <w:jc w:val="center"/>
    </w:pPr>
    <w:rPr>
      <w:rFonts w:ascii="Mulish" w:hAnsi="Mulish"/>
      <w:color w:val="575756"/>
      <w:sz w:val="16"/>
      <w:szCs w:val="16"/>
    </w:rPr>
  </w:style>
  <w:style w:type="character" w:customStyle="1" w:styleId="hlavickaadresaSZChar">
    <w:name w:val="hlavicka_adresa_SZÚ Char"/>
    <w:basedOn w:val="ZkladnodstavecChar"/>
    <w:link w:val="hlavickaadresaSZ"/>
    <w:rsid w:val="00380C5D"/>
    <w:rPr>
      <w:rFonts w:ascii="Mulish" w:hAnsi="Mulish" w:cs="Minion Pro"/>
      <w:color w:val="005984"/>
      <w:sz w:val="16"/>
      <w:szCs w:val="16"/>
    </w:rPr>
  </w:style>
  <w:style w:type="paragraph" w:customStyle="1" w:styleId="zapatibold">
    <w:name w:val="zapati_bold"/>
    <w:basedOn w:val="Zkladnodstavec"/>
    <w:link w:val="zapatiboldChar"/>
    <w:qFormat/>
    <w:rsid w:val="00380C5D"/>
    <w:pPr>
      <w:jc w:val="center"/>
    </w:pPr>
    <w:rPr>
      <w:rFonts w:ascii="Mulish" w:hAnsi="Mulish"/>
      <w:b/>
      <w:bCs/>
      <w:color w:val="005984"/>
      <w:sz w:val="16"/>
      <w:szCs w:val="16"/>
    </w:rPr>
  </w:style>
  <w:style w:type="character" w:customStyle="1" w:styleId="zapatitextChar">
    <w:name w:val="zapati_text Char"/>
    <w:basedOn w:val="ZkladnodstavecChar"/>
    <w:link w:val="zapatitext"/>
    <w:rsid w:val="00210972"/>
    <w:rPr>
      <w:rFonts w:ascii="Mulish" w:hAnsi="Mulish" w:cs="Minion Pro"/>
      <w:color w:val="575756"/>
      <w:sz w:val="16"/>
      <w:szCs w:val="16"/>
    </w:rPr>
  </w:style>
  <w:style w:type="paragraph" w:customStyle="1" w:styleId="normalnibold">
    <w:name w:val="normalni bold"/>
    <w:basedOn w:val="textSZ"/>
    <w:link w:val="normalniboldChar"/>
    <w:qFormat/>
    <w:rsid w:val="009C38D4"/>
    <w:rPr>
      <w:b/>
      <w:bCs/>
      <w:color w:val="005984"/>
    </w:rPr>
  </w:style>
  <w:style w:type="character" w:customStyle="1" w:styleId="zapatiboldChar">
    <w:name w:val="zapati_bold Char"/>
    <w:basedOn w:val="ZkladnodstavecChar"/>
    <w:link w:val="zapatibold"/>
    <w:rsid w:val="00380C5D"/>
    <w:rPr>
      <w:rFonts w:ascii="Mulish" w:hAnsi="Mulish" w:cs="Minion Pro"/>
      <w:b/>
      <w:bCs/>
      <w:color w:val="005984"/>
      <w:sz w:val="16"/>
      <w:szCs w:val="16"/>
    </w:rPr>
  </w:style>
  <w:style w:type="paragraph" w:customStyle="1" w:styleId="normalnivyznacovaci">
    <w:name w:val="normalni_vyznacovaci"/>
    <w:basedOn w:val="Normln"/>
    <w:link w:val="normalnivyznacovaciChar"/>
    <w:qFormat/>
    <w:rsid w:val="009E26E1"/>
    <w:rPr>
      <w:i/>
      <w:iCs/>
    </w:rPr>
  </w:style>
  <w:style w:type="character" w:customStyle="1" w:styleId="normalniboldChar">
    <w:name w:val="normalni bold Char"/>
    <w:basedOn w:val="textSZChar"/>
    <w:link w:val="normalnibold"/>
    <w:rsid w:val="009C38D4"/>
    <w:rPr>
      <w:rFonts w:ascii="Mulish" w:hAnsi="Mulish" w:cs="Mulish"/>
      <w:b/>
      <w:bCs/>
      <w:color w:val="005984"/>
      <w:sz w:val="20"/>
      <w:szCs w:val="20"/>
    </w:rPr>
  </w:style>
  <w:style w:type="character" w:customStyle="1" w:styleId="normalnivyznacovaciChar">
    <w:name w:val="normalni_vyznacovaci Char"/>
    <w:basedOn w:val="Standardnpsmoodstavce"/>
    <w:link w:val="normalnivyznacovaci"/>
    <w:rsid w:val="009E26E1"/>
    <w:rPr>
      <w:rFonts w:ascii="Mulish" w:hAnsi="Mulish" w:cs="Mulish"/>
      <w:i/>
      <w:iCs/>
      <w:color w:val="000000" w:themeColor="text1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F2B5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F2B5E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380C5D"/>
    <w:rPr>
      <w:rFonts w:ascii="Mulish" w:eastAsiaTheme="majorEastAsia" w:hAnsi="Mulish" w:cstheme="majorBidi"/>
      <w:b/>
      <w:color w:val="000000" w:themeColor="text1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rsid w:val="009E26E1"/>
    <w:pPr>
      <w:spacing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E26E1"/>
    <w:rPr>
      <w:rFonts w:ascii="Mulish" w:eastAsiaTheme="majorEastAsia" w:hAnsi="Mulish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9E26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E26E1"/>
    <w:rPr>
      <w:rFonts w:eastAsiaTheme="minorEastAsia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rsid w:val="009E26E1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rsid w:val="009E26E1"/>
    <w:rPr>
      <w:i/>
      <w:iCs/>
    </w:rPr>
  </w:style>
  <w:style w:type="character" w:styleId="Zdraznnintenzivn">
    <w:name w:val="Intense Emphasis"/>
    <w:basedOn w:val="Standardnpsmoodstavce"/>
    <w:uiPriority w:val="21"/>
    <w:rsid w:val="009E26E1"/>
    <w:rPr>
      <w:i/>
      <w:iCs/>
      <w:color w:val="4472C4" w:themeColor="accent1"/>
    </w:rPr>
  </w:style>
  <w:style w:type="character" w:styleId="Siln">
    <w:name w:val="Strong"/>
    <w:basedOn w:val="Standardnpsmoodstavce"/>
    <w:uiPriority w:val="22"/>
    <w:qFormat/>
    <w:rsid w:val="009E26E1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E26E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E26E1"/>
    <w:rPr>
      <w:rFonts w:ascii="Mulish" w:hAnsi="Mulish" w:cs="Mulish"/>
      <w:i/>
      <w:iCs/>
      <w:color w:val="404040" w:themeColor="text1" w:themeTint="BF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9E26E1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paragraph" w:customStyle="1" w:styleId="PodpisSZ">
    <w:name w:val="Podpis SZÚ"/>
    <w:basedOn w:val="Normln"/>
    <w:qFormat/>
    <w:rsid w:val="00A80455"/>
    <w:pPr>
      <w:jc w:val="right"/>
    </w:pPr>
    <w:rPr>
      <w:b/>
      <w:bCs/>
      <w:color w:val="005984"/>
    </w:rPr>
  </w:style>
  <w:style w:type="paragraph" w:customStyle="1" w:styleId="Podpisfunkce">
    <w:name w:val="Podpis funkce"/>
    <w:basedOn w:val="Normln"/>
    <w:qFormat/>
    <w:rsid w:val="00A80455"/>
    <w:pPr>
      <w:jc w:val="right"/>
    </w:pPr>
    <w:rPr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943CA"/>
    <w:rPr>
      <w:color w:val="954F72" w:themeColor="followed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58F1"/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3358F1"/>
    <w:pPr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hps">
    <w:name w:val="hps"/>
    <w:basedOn w:val="Standardnpsmoodstavce"/>
    <w:uiPriority w:val="99"/>
    <w:rsid w:val="00E40772"/>
  </w:style>
  <w:style w:type="paragraph" w:styleId="Textbubliny">
    <w:name w:val="Balloon Text"/>
    <w:basedOn w:val="Normln"/>
    <w:link w:val="TextbublinyChar"/>
    <w:uiPriority w:val="99"/>
    <w:semiHidden/>
    <w:unhideWhenUsed/>
    <w:rsid w:val="00E243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363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7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02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7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3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27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9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baccotactics.org/article/nicotine-pouches/" TargetMode="External"/><Relationship Id="rId13" Type="http://schemas.openxmlformats.org/officeDocument/2006/relationships/chart" Target="charts/chart3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theme" Target="theme/theme1.xml"/><Relationship Id="rId10" Type="http://schemas.openxmlformats.org/officeDocument/2006/relationships/hyperlink" Target="https://tobaccotactics.org/article/heated-tobacco-products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tobaccotactics.org/article/e-cigarettes/" TargetMode="External"/><Relationship Id="rId14" Type="http://schemas.openxmlformats.org/officeDocument/2006/relationships/chart" Target="charts/chart4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u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iroslava.skyvova\Desktop\U&#382;&#237;v&#225;n&#237;%20tab&#225;ku%202023\Grafy\Grafy%20NAUTA%202023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iroslava.skyvova\Desktop\U&#382;&#237;v&#225;n&#237;%20tab&#225;ku%202023\Grafy\Grafy%20NAUTA%202023.xls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iroslava.skyvova\Desktop\U&#382;&#237;v&#225;n&#237;%20tab&#225;ku%202023\Grafy\Grafy%20NAUTA%202023.xls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iroslava.skyvova\Desktop\U&#382;&#237;v&#225;n&#237;%20tab&#225;ku%202023\Grafy\Grafy%20NAUTA%202023.xls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iroslava.skyvova\Desktop\U&#382;&#237;v&#225;n&#237;%20tab&#225;ku%202023\Grafy\Grafy%20NAUTA%202023.xls" TargetMode="External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7996170670512663E-2"/>
          <c:y val="7.2343746931882891E-2"/>
          <c:w val="0.89017041989201962"/>
          <c:h val="0.71319270276400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List1!$B$2</c:f>
              <c:strCache>
                <c:ptCount val="1"/>
                <c:pt idx="0">
                  <c:v>Celkem (denní a příležitostní)</c:v>
                </c:pt>
              </c:strCache>
            </c:strRef>
          </c:tx>
          <c:spPr>
            <a:solidFill>
              <a:srgbClr val="6B82A1"/>
            </a:solidFill>
            <a:ln w="9525" cap="rnd">
              <a:solidFill>
                <a:srgbClr val="E7E6E6">
                  <a:lumMod val="25000"/>
                </a:srgbClr>
              </a:solidFill>
              <a:round/>
            </a:ln>
            <a:effectLst/>
          </c:spPr>
          <c:invertIfNegative val="0"/>
          <c:dLbls>
            <c:dLbl>
              <c:idx val="1"/>
              <c:layout>
                <c:manualLayout>
                  <c:x val="-1.3586536976995523E-5"/>
                  <c:y val="6.104431246612308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4E1-462C-859B-71C82D437753}"/>
                </c:ext>
              </c:extLst>
            </c:dLbl>
            <c:dLbl>
              <c:idx val="2"/>
              <c:layout>
                <c:manualLayout>
                  <c:x val="0"/>
                  <c:y val="6.474527471630812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4E1-462C-859B-71C82D437753}"/>
                </c:ext>
              </c:extLst>
            </c:dLbl>
            <c:dLbl>
              <c:idx val="3"/>
              <c:layout>
                <c:manualLayout>
                  <c:x val="0"/>
                  <c:y val="7.214707757113789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4E1-462C-859B-71C82D437753}"/>
                </c:ext>
              </c:extLst>
            </c:dLbl>
            <c:dLbl>
              <c:idx val="4"/>
              <c:layout>
                <c:manualLayout>
                  <c:x val="-8.5820125323601069E-17"/>
                  <c:y val="7.320877557864900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4E1-462C-859B-71C82D437753}"/>
                </c:ext>
              </c:extLst>
            </c:dLbl>
            <c:dLbl>
              <c:idx val="5"/>
              <c:layout>
                <c:manualLayout>
                  <c:x val="0"/>
                  <c:y val="6.412406732505888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4E1-462C-859B-71C82D437753}"/>
                </c:ext>
              </c:extLst>
            </c:dLbl>
            <c:dLbl>
              <c:idx val="6"/>
              <c:layout>
                <c:manualLayout>
                  <c:x val="-1.3586536976995523E-5"/>
                  <c:y val="5.672205482086759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4E1-462C-859B-71C82D437753}"/>
                </c:ext>
              </c:extLst>
            </c:dLbl>
            <c:dLbl>
              <c:idx val="7"/>
              <c:layout>
                <c:manualLayout>
                  <c:x val="8.2665939406481158E-17"/>
                  <c:y val="6.813557244809831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4E1-462C-859B-71C82D437753}"/>
                </c:ext>
              </c:extLst>
            </c:dLbl>
            <c:dLbl>
              <c:idx val="8"/>
              <c:layout>
                <c:manualLayout>
                  <c:x val="-8.2665939406481158E-17"/>
                  <c:y val="6.41240673250588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4E1-462C-859B-71C82D437753}"/>
                </c:ext>
              </c:extLst>
            </c:dLbl>
            <c:dLbl>
              <c:idx val="9"/>
              <c:layout>
                <c:manualLayout>
                  <c:x val="0"/>
                  <c:y val="6.813557244809838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4E1-462C-859B-71C82D437753}"/>
                </c:ext>
              </c:extLst>
            </c:dLbl>
            <c:dLbl>
              <c:idx val="10"/>
              <c:layout>
                <c:manualLayout>
                  <c:x val="0"/>
                  <c:y val="6.813557244809836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4E1-462C-859B-71C82D437753}"/>
                </c:ext>
              </c:extLst>
            </c:dLbl>
            <c:dLbl>
              <c:idx val="11"/>
              <c:layout>
                <c:manualLayout>
                  <c:x val="0"/>
                  <c:y val="8.898133199671284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4E1-462C-859B-71C82D437753}"/>
                </c:ext>
              </c:extLst>
            </c:dLbl>
            <c:spPr>
              <a:noFill/>
              <a:ln w="25400">
                <a:noFill/>
              </a:ln>
            </c:spPr>
            <c:txPr>
              <a:bodyPr anchorCtr="0"/>
              <a:lstStyle/>
              <a:p>
                <a:pPr algn="ctr">
                  <a:defRPr sz="800" b="1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19050">
                <a:solidFill>
                  <a:srgbClr val="6B82A1"/>
                </a:solidFill>
                <a:prstDash val="dash"/>
              </a:ln>
            </c:spPr>
            <c:trendlineType val="linear"/>
            <c:dispRSqr val="0"/>
            <c:dispEq val="1"/>
            <c:trendlineLbl>
              <c:layout>
                <c:manualLayout>
                  <c:x val="5.7168971525618124E-2"/>
                  <c:y val="-0.21715818553768862"/>
                </c:manualLayout>
              </c:layout>
              <c:numFmt formatCode="#,##0.00" sourceLinked="0"/>
              <c:spPr>
                <a:noFill/>
              </c:spPr>
              <c:txPr>
                <a:bodyPr/>
                <a:lstStyle/>
                <a:p>
                  <a:pPr>
                    <a:defRPr sz="1000" b="1">
                      <a:solidFill>
                        <a:srgbClr val="6B82A1"/>
                      </a:solidFill>
                    </a:defRPr>
                  </a:pPr>
                  <a:endParaRPr lang="cs-CZ"/>
                </a:p>
              </c:txPr>
            </c:trendlineLbl>
          </c:trendline>
          <c:cat>
            <c:numRef>
              <c:f>List1!$A$3:$A$14</c:f>
              <c:numCache>
                <c:formatCode>General</c:formatCode>
                <c:ptCount val="12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</c:numCache>
            </c:numRef>
          </c:cat>
          <c:val>
            <c:numRef>
              <c:f>List1!$B$3:$B$14</c:f>
              <c:numCache>
                <c:formatCode>General</c:formatCode>
                <c:ptCount val="12"/>
                <c:pt idx="0">
                  <c:v>31.3</c:v>
                </c:pt>
                <c:pt idx="1">
                  <c:v>29.9</c:v>
                </c:pt>
                <c:pt idx="2">
                  <c:v>31.4</c:v>
                </c:pt>
                <c:pt idx="3">
                  <c:v>24.1</c:v>
                </c:pt>
                <c:pt idx="4">
                  <c:v>28.6</c:v>
                </c:pt>
                <c:pt idx="5">
                  <c:v>25.2</c:v>
                </c:pt>
                <c:pt idx="6">
                  <c:v>28.5</c:v>
                </c:pt>
                <c:pt idx="7">
                  <c:v>24.9</c:v>
                </c:pt>
                <c:pt idx="8">
                  <c:v>23.1</c:v>
                </c:pt>
                <c:pt idx="9">
                  <c:v>24.4</c:v>
                </c:pt>
                <c:pt idx="10">
                  <c:v>24.4</c:v>
                </c:pt>
                <c:pt idx="11">
                  <c:v>24.6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54E1-462C-859B-71C82D437753}"/>
            </c:ext>
          </c:extLst>
        </c:ser>
        <c:ser>
          <c:idx val="1"/>
          <c:order val="1"/>
          <c:tx>
            <c:strRef>
              <c:f>List1!$C$2</c:f>
              <c:strCache>
                <c:ptCount val="1"/>
                <c:pt idx="0">
                  <c:v>Denní</c:v>
                </c:pt>
              </c:strCache>
            </c:strRef>
          </c:tx>
          <c:spPr>
            <a:solidFill>
              <a:srgbClr val="6CA6DA"/>
            </a:solidFill>
            <a:ln w="9525">
              <a:solidFill>
                <a:srgbClr val="44546A">
                  <a:lumMod val="75000"/>
                </a:srgbClr>
              </a:solidFill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54E1-462C-859B-71C82D437753}"/>
              </c:ext>
            </c:extLst>
          </c:dPt>
          <c:dLbls>
            <c:dLbl>
              <c:idx val="2"/>
              <c:layout>
                <c:manualLayout>
                  <c:x val="-4.1082625316635944E-17"/>
                  <c:y val="5.27229756902148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4E1-462C-859B-71C82D437753}"/>
                </c:ext>
              </c:extLst>
            </c:dLbl>
            <c:dLbl>
              <c:idx val="3"/>
              <c:layout>
                <c:manualLayout>
                  <c:x val="0"/>
                  <c:y val="5.46448533311574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54E1-462C-859B-71C82D437753}"/>
                </c:ext>
              </c:extLst>
            </c:dLbl>
            <c:dLbl>
              <c:idx val="4"/>
              <c:layout>
                <c:manualLayout>
                  <c:x val="0"/>
                  <c:y val="5.83458155813424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4E1-462C-859B-71C82D437753}"/>
                </c:ext>
              </c:extLst>
            </c:dLbl>
            <c:dLbl>
              <c:idx val="5"/>
              <c:layout>
                <c:manualLayout>
                  <c:x val="0"/>
                  <c:y val="6.574774008171251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54E1-462C-859B-71C82D437753}"/>
                </c:ext>
              </c:extLst>
            </c:dLbl>
            <c:dLbl>
              <c:idx val="6"/>
              <c:layout>
                <c:manualLayout>
                  <c:x val="0"/>
                  <c:y val="6.412406732505888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54E1-462C-859B-71C82D437753}"/>
                </c:ext>
              </c:extLst>
            </c:dLbl>
            <c:dLbl>
              <c:idx val="7"/>
              <c:layout>
                <c:manualLayout>
                  <c:x val="0"/>
                  <c:y val="6.41240673250588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54E1-462C-859B-71C82D437753}"/>
                </c:ext>
              </c:extLst>
            </c:dLbl>
            <c:dLbl>
              <c:idx val="8"/>
              <c:layout>
                <c:manualLayout>
                  <c:x val="-8.2165250633271889E-17"/>
                  <c:y val="6.104431246612308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54E1-462C-859B-71C82D437753}"/>
                </c:ext>
              </c:extLst>
            </c:dLbl>
            <c:dLbl>
              <c:idx val="9"/>
              <c:layout>
                <c:manualLayout>
                  <c:x val="0"/>
                  <c:y val="6.813557244809838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54E1-462C-859B-71C82D437753}"/>
                </c:ext>
              </c:extLst>
            </c:dLbl>
            <c:dLbl>
              <c:idx val="10"/>
              <c:layout>
                <c:manualLayout>
                  <c:x val="-8.6106883698361237E-5"/>
                  <c:y val="6.0999143241809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54E1-462C-859B-71C82D437753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19050">
                <a:solidFill>
                  <a:srgbClr val="5F9ED7"/>
                </a:solidFill>
                <a:prstDash val="dash"/>
              </a:ln>
            </c:spPr>
            <c:trendlineType val="linear"/>
            <c:dispRSqr val="0"/>
            <c:dispEq val="1"/>
            <c:trendlineLbl>
              <c:layout>
                <c:manualLayout>
                  <c:x val="3.9401133681819182E-2"/>
                  <c:y val="-0.33646875746749272"/>
                </c:manualLayout>
              </c:layout>
              <c:numFmt formatCode="#,##0.00" sourceLinked="0"/>
              <c:txPr>
                <a:bodyPr/>
                <a:lstStyle/>
                <a:p>
                  <a:pPr>
                    <a:defRPr sz="1000" b="1">
                      <a:solidFill>
                        <a:srgbClr val="7CAFDE"/>
                      </a:solidFill>
                    </a:defRPr>
                  </a:pPr>
                  <a:endParaRPr lang="cs-CZ"/>
                </a:p>
              </c:txPr>
            </c:trendlineLbl>
          </c:trendline>
          <c:cat>
            <c:numRef>
              <c:f>List1!$A$3:$A$14</c:f>
              <c:numCache>
                <c:formatCode>General</c:formatCode>
                <c:ptCount val="12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</c:numCache>
            </c:numRef>
          </c:cat>
          <c:val>
            <c:numRef>
              <c:f>List1!$C$3:$C$14</c:f>
              <c:numCache>
                <c:formatCode>General</c:formatCode>
                <c:ptCount val="12"/>
                <c:pt idx="0">
                  <c:v>23.1</c:v>
                </c:pt>
                <c:pt idx="1">
                  <c:v>22.2</c:v>
                </c:pt>
                <c:pt idx="2">
                  <c:v>23.5</c:v>
                </c:pt>
                <c:pt idx="3">
                  <c:v>18.2</c:v>
                </c:pt>
                <c:pt idx="4">
                  <c:v>19.600000000000001</c:v>
                </c:pt>
                <c:pt idx="5">
                  <c:v>18.399999999999999</c:v>
                </c:pt>
                <c:pt idx="6">
                  <c:v>21.1</c:v>
                </c:pt>
                <c:pt idx="7">
                  <c:v>18.100000000000001</c:v>
                </c:pt>
                <c:pt idx="8">
                  <c:v>16.600000000000001</c:v>
                </c:pt>
                <c:pt idx="9">
                  <c:v>17.600000000000001</c:v>
                </c:pt>
                <c:pt idx="10">
                  <c:v>16.2</c:v>
                </c:pt>
                <c:pt idx="11">
                  <c:v>15.9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54E1-462C-859B-71C82D4377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7"/>
        <c:overlap val="60"/>
        <c:axId val="338128784"/>
        <c:axId val="1"/>
      </c:barChart>
      <c:catAx>
        <c:axId val="338128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3175" cap="flat" cmpd="sng" algn="ctr">
            <a:solidFill>
              <a:schemeClr val="tx1"/>
            </a:solidFill>
            <a:round/>
          </a:ln>
          <a:effectLst/>
        </c:spPr>
        <c:txPr>
          <a:bodyPr rot="0" vert="horz"/>
          <a:lstStyle/>
          <a:p>
            <a:pPr>
              <a:defRPr sz="1100" b="1"/>
            </a:pPr>
            <a:endParaRPr lang="cs-CZ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35"/>
          <c:min val="0"/>
        </c:scaling>
        <c:delete val="0"/>
        <c:axPos val="l"/>
        <c:majorGridlines>
          <c:spPr>
            <a:ln w="3175" cap="flat" cmpd="sng" algn="ctr">
              <a:solidFill>
                <a:srgbClr val="E7E6E6">
                  <a:lumMod val="90000"/>
                </a:srgbClr>
              </a:solidFill>
              <a:round/>
            </a:ln>
            <a:effectLst/>
          </c:spPr>
        </c:majorGridlines>
        <c:title>
          <c:tx>
            <c:rich>
              <a:bodyPr rot="0" vert="horz"/>
              <a:lstStyle/>
              <a:p>
                <a:pPr>
                  <a:defRPr sz="1000" b="1"/>
                </a:pPr>
                <a:r>
                  <a:rPr lang="cs-CZ" sz="1000"/>
                  <a:t>%</a:t>
                </a: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/>
            </a:pPr>
            <a:endParaRPr lang="cs-CZ"/>
          </a:p>
        </c:txPr>
        <c:crossAx val="338128784"/>
        <c:crosses val="autoZero"/>
        <c:crossBetween val="between"/>
        <c:majorUnit val="5"/>
      </c:valAx>
      <c:spPr>
        <a:gradFill>
          <a:gsLst>
            <a:gs pos="0">
              <a:srgbClr val="4472C4">
                <a:lumMod val="5000"/>
                <a:lumOff val="95000"/>
              </a:srgbClr>
            </a:gs>
            <a:gs pos="74000">
              <a:srgbClr val="4472C4">
                <a:lumMod val="45000"/>
                <a:lumOff val="55000"/>
              </a:srgbClr>
            </a:gs>
            <a:gs pos="83000">
              <a:srgbClr val="4472C4">
                <a:lumMod val="45000"/>
                <a:lumOff val="55000"/>
              </a:srgbClr>
            </a:gs>
            <a:gs pos="100000">
              <a:srgbClr val="4472C4">
                <a:lumMod val="30000"/>
                <a:lumOff val="70000"/>
              </a:srgbClr>
            </a:gs>
          </a:gsLst>
          <a:lin ang="5400000" scaled="1"/>
        </a:gradFill>
        <a:ln w="12700">
          <a:solidFill>
            <a:srgbClr val="808080">
              <a:alpha val="97000"/>
            </a:srgbClr>
          </a:solidFill>
          <a:prstDash val="solid"/>
        </a:ln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17711436878289674"/>
          <c:y val="0.90811420934768472"/>
          <c:w val="0.60026124203056308"/>
          <c:h val="8.8572852009966452E-2"/>
        </c:manualLayout>
      </c:layout>
      <c:overlay val="0"/>
      <c:txPr>
        <a:bodyPr/>
        <a:lstStyle/>
        <a:p>
          <a:pPr>
            <a:defRPr sz="1100" b="1"/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solidFill>
        <a:sysClr val="windowText" lastClr="000000"/>
      </a:solidFill>
      <a:round/>
    </a:ln>
    <a:effectLst/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+mn-lt"/>
          <a:ea typeface="Calibri"/>
          <a:cs typeface="Arial" panose="020B0604020202020204" pitchFamily="34" charset="0"/>
        </a:defRPr>
      </a:pPr>
      <a:endParaRPr lang="cs-CZ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7996170670512663E-2"/>
          <c:y val="7.2343746931882891E-2"/>
          <c:w val="0.89017041989201962"/>
          <c:h val="0.790140914286257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List1!$P$92</c:f>
              <c:strCache>
                <c:ptCount val="1"/>
                <c:pt idx="0">
                  <c:v>Celkem (denní a příležitostní)</c:v>
                </c:pt>
              </c:strCache>
            </c:strRef>
          </c:tx>
          <c:spPr>
            <a:solidFill>
              <a:srgbClr val="6B82A1"/>
            </a:solidFill>
            <a:ln w="9525" cap="rnd">
              <a:solidFill>
                <a:sysClr val="windowText" lastClr="000000"/>
              </a:solidFill>
              <a:round/>
            </a:ln>
            <a:effectLst/>
          </c:spPr>
          <c:invertIfNegative val="0"/>
          <c:dLbls>
            <c:dLbl>
              <c:idx val="1"/>
              <c:layout>
                <c:manualLayout>
                  <c:x val="-2.2545516646491092E-3"/>
                  <c:y val="7.214707757113789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5DC-43A0-B4BC-F6EEEE81B47F}"/>
                </c:ext>
              </c:extLst>
            </c:dLbl>
            <c:dLbl>
              <c:idx val="2"/>
              <c:layout>
                <c:manualLayout>
                  <c:x val="0"/>
                  <c:y val="7.214707757113773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5DC-43A0-B4BC-F6EEEE81B47F}"/>
                </c:ext>
              </c:extLst>
            </c:dLbl>
            <c:dLbl>
              <c:idx val="3"/>
              <c:layout>
                <c:manualLayout>
                  <c:x val="0"/>
                  <c:y val="7.214707757113789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5DC-43A0-B4BC-F6EEEE81B47F}"/>
                </c:ext>
              </c:extLst>
            </c:dLbl>
            <c:dLbl>
              <c:idx val="4"/>
              <c:layout>
                <c:manualLayout>
                  <c:x val="0"/>
                  <c:y val="8.819309806329586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5DC-43A0-B4BC-F6EEEE81B47F}"/>
                </c:ext>
              </c:extLst>
            </c:dLbl>
            <c:dLbl>
              <c:idx val="5"/>
              <c:layout>
                <c:manualLayout>
                  <c:x val="0"/>
                  <c:y val="7.72820831606574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5DC-43A0-B4BC-F6EEEE81B47F}"/>
                </c:ext>
              </c:extLst>
            </c:dLbl>
            <c:dLbl>
              <c:idx val="6"/>
              <c:layout>
                <c:manualLayout>
                  <c:x val="-2.2545329981900411E-3"/>
                  <c:y val="7.728208316065754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5DC-43A0-B4BC-F6EEEE81B47F}"/>
                </c:ext>
              </c:extLst>
            </c:dLbl>
            <c:dLbl>
              <c:idx val="7"/>
              <c:layout>
                <c:manualLayout>
                  <c:x val="-8.6222793874421115E-17"/>
                  <c:y val="7.690737670949025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5DC-43A0-B4BC-F6EEEE81B47F}"/>
                </c:ext>
              </c:extLst>
            </c:dLbl>
            <c:dLbl>
              <c:idx val="8"/>
              <c:layout>
                <c:manualLayout>
                  <c:x val="0"/>
                  <c:y val="7.289611824837684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5DC-43A0-B4BC-F6EEEE81B47F}"/>
                </c:ext>
              </c:extLst>
            </c:dLbl>
            <c:dLbl>
              <c:idx val="9"/>
              <c:layout>
                <c:manualLayout>
                  <c:x val="0"/>
                  <c:y val="7.690737670949025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5DC-43A0-B4BC-F6EEEE81B47F}"/>
                </c:ext>
              </c:extLst>
            </c:dLbl>
            <c:dLbl>
              <c:idx val="10"/>
              <c:layout>
                <c:manualLayout>
                  <c:x val="-1.7244558774884223E-16"/>
                  <c:y val="7.690737670949025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5DC-43A0-B4BC-F6EEEE81B47F}"/>
                </c:ext>
              </c:extLst>
            </c:dLbl>
            <c:spPr>
              <a:noFill/>
              <a:ln w="25400">
                <a:noFill/>
              </a:ln>
            </c:spPr>
            <c:txPr>
              <a:bodyPr anchorCtr="0"/>
              <a:lstStyle/>
              <a:p>
                <a:pPr algn="ctr">
                  <a:defRPr sz="800" b="1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19050">
                <a:solidFill>
                  <a:srgbClr val="6B82A1"/>
                </a:solidFill>
                <a:prstDash val="dash"/>
              </a:ln>
            </c:spPr>
            <c:trendlineType val="linear"/>
            <c:dispRSqr val="0"/>
            <c:dispEq val="0"/>
          </c:trendline>
          <c:cat>
            <c:numRef>
              <c:f>List1!$O$93:$O$103</c:f>
              <c:numCache>
                <c:formatCode>General</c:formatCode>
                <c:ptCount val="11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</c:numCache>
            </c:numRef>
          </c:cat>
          <c:val>
            <c:numRef>
              <c:f>List1!$P$93:$P$103</c:f>
              <c:numCache>
                <c:formatCode>0.0</c:formatCode>
                <c:ptCount val="11"/>
                <c:pt idx="0">
                  <c:v>1.1000000000000001</c:v>
                </c:pt>
                <c:pt idx="1">
                  <c:v>3.9</c:v>
                </c:pt>
                <c:pt idx="2">
                  <c:v>2.2999999999999998</c:v>
                </c:pt>
                <c:pt idx="3">
                  <c:v>5.7</c:v>
                </c:pt>
                <c:pt idx="4">
                  <c:v>5.2</c:v>
                </c:pt>
                <c:pt idx="5">
                  <c:v>4.5999999999999996</c:v>
                </c:pt>
                <c:pt idx="6">
                  <c:v>4.9000000000000004</c:v>
                </c:pt>
                <c:pt idx="7">
                  <c:v>4.8</c:v>
                </c:pt>
                <c:pt idx="8">
                  <c:v>7.4</c:v>
                </c:pt>
                <c:pt idx="9">
                  <c:v>10.199999999999999</c:v>
                </c:pt>
                <c:pt idx="10">
                  <c:v>11.1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5DC-43A0-B4BC-F6EEEE81B47F}"/>
            </c:ext>
          </c:extLst>
        </c:ser>
        <c:ser>
          <c:idx val="1"/>
          <c:order val="1"/>
          <c:tx>
            <c:strRef>
              <c:f>List1!$Q$92</c:f>
              <c:strCache>
                <c:ptCount val="1"/>
                <c:pt idx="0">
                  <c:v>Denní</c:v>
                </c:pt>
              </c:strCache>
            </c:strRef>
          </c:tx>
          <c:spPr>
            <a:solidFill>
              <a:srgbClr val="6CA6DA"/>
            </a:solidFill>
            <a:ln w="9525">
              <a:solidFill>
                <a:sysClr val="windowText" lastClr="000000"/>
              </a:solidFill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C5DC-43A0-B4BC-F6EEEE81B47F}"/>
              </c:ext>
            </c:extLst>
          </c:dPt>
          <c:dLbls>
            <c:dLbl>
              <c:idx val="2"/>
              <c:layout>
                <c:manualLayout>
                  <c:x val="-4.1651888928222138E-17"/>
                  <c:y val="0.1008354018875295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5DC-43A0-B4BC-F6EEEE81B47F}"/>
                </c:ext>
              </c:extLst>
            </c:dLbl>
            <c:dLbl>
              <c:idx val="6"/>
              <c:layout>
                <c:manualLayout>
                  <c:x val="0"/>
                  <c:y val="7.728208316065754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5DC-43A0-B4BC-F6EEEE81B47F}"/>
                </c:ext>
              </c:extLst>
            </c:dLbl>
            <c:dLbl>
              <c:idx val="7"/>
              <c:layout>
                <c:manualLayout>
                  <c:x val="0"/>
                  <c:y val="7.289611824837684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5DC-43A0-B4BC-F6EEEE81B47F}"/>
                </c:ext>
              </c:extLst>
            </c:dLbl>
            <c:dLbl>
              <c:idx val="8"/>
              <c:layout>
                <c:manualLayout>
                  <c:x val="0"/>
                  <c:y val="7.21470775711378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5DC-43A0-B4BC-F6EEEE81B47F}"/>
                </c:ext>
              </c:extLst>
            </c:dLbl>
            <c:dLbl>
              <c:idx val="9"/>
              <c:layout>
                <c:manualLayout>
                  <c:x val="0"/>
                  <c:y val="6.813557244809838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C5DC-43A0-B4BC-F6EEEE81B47F}"/>
                </c:ext>
              </c:extLst>
            </c:dLbl>
            <c:dLbl>
              <c:idx val="10"/>
              <c:layout>
                <c:manualLayout>
                  <c:x val="2.2545516646491092E-3"/>
                  <c:y val="7.21470775711378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C5DC-43A0-B4BC-F6EEEE81B47F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List1!$O$93:$O$103</c:f>
              <c:numCache>
                <c:formatCode>General</c:formatCode>
                <c:ptCount val="11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</c:numCache>
            </c:numRef>
          </c:cat>
          <c:val>
            <c:numRef>
              <c:f>List1!$Q$93:$Q$103</c:f>
              <c:numCache>
                <c:formatCode>General</c:formatCode>
                <c:ptCount val="11"/>
                <c:pt idx="6" formatCode="0.0">
                  <c:v>2.1</c:v>
                </c:pt>
                <c:pt idx="7" formatCode="0.0">
                  <c:v>2.2999999999999998</c:v>
                </c:pt>
                <c:pt idx="8" formatCode="0.0">
                  <c:v>4</c:v>
                </c:pt>
                <c:pt idx="9" formatCode="0.0">
                  <c:v>5.0999999999999996</c:v>
                </c:pt>
                <c:pt idx="10" formatCode="0.0">
                  <c:v>6.1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C5DC-43A0-B4BC-F6EEEE81B4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4"/>
        <c:overlap val="75"/>
        <c:axId val="335462440"/>
        <c:axId val="1"/>
      </c:barChart>
      <c:catAx>
        <c:axId val="335462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3175" cap="flat" cmpd="sng" algn="ctr">
            <a:solidFill>
              <a:schemeClr val="tx1"/>
            </a:solidFill>
            <a:round/>
          </a:ln>
          <a:effectLst/>
        </c:spPr>
        <c:txPr>
          <a:bodyPr rot="0" vert="horz"/>
          <a:lstStyle/>
          <a:p>
            <a:pPr>
              <a:defRPr sz="1100" b="1"/>
            </a:pPr>
            <a:endParaRPr lang="cs-CZ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12"/>
          <c:min val="0"/>
        </c:scaling>
        <c:delete val="0"/>
        <c:axPos val="l"/>
        <c:majorGridlines>
          <c:spPr>
            <a:ln w="3175" cap="flat" cmpd="sng" algn="ctr">
              <a:solidFill>
                <a:srgbClr val="E7E6E6">
                  <a:lumMod val="90000"/>
                </a:srgbClr>
              </a:solidFill>
              <a:round/>
            </a:ln>
            <a:effectLst/>
          </c:spPr>
        </c:majorGridlines>
        <c:title>
          <c:tx>
            <c:rich>
              <a:bodyPr rot="0" vert="horz"/>
              <a:lstStyle/>
              <a:p>
                <a:pPr>
                  <a:defRPr sz="1000" b="1"/>
                </a:pPr>
                <a:r>
                  <a:rPr lang="cs-CZ" sz="1000"/>
                  <a:t>%</a:t>
                </a: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/>
            </a:pPr>
            <a:endParaRPr lang="cs-CZ"/>
          </a:p>
        </c:txPr>
        <c:crossAx val="335462440"/>
        <c:crosses val="autoZero"/>
        <c:crossBetween val="between"/>
        <c:majorUnit val="2"/>
      </c:valAx>
      <c:spPr>
        <a:gradFill>
          <a:gsLst>
            <a:gs pos="0">
              <a:srgbClr val="4472C4">
                <a:lumMod val="5000"/>
                <a:lumOff val="95000"/>
              </a:srgbClr>
            </a:gs>
            <a:gs pos="74000">
              <a:srgbClr val="4472C4">
                <a:lumMod val="45000"/>
                <a:lumOff val="55000"/>
              </a:srgbClr>
            </a:gs>
            <a:gs pos="83000">
              <a:srgbClr val="4472C4">
                <a:lumMod val="45000"/>
                <a:lumOff val="55000"/>
              </a:srgbClr>
            </a:gs>
            <a:gs pos="100000">
              <a:srgbClr val="4472C4">
                <a:lumMod val="30000"/>
                <a:lumOff val="70000"/>
              </a:srgbClr>
            </a:gs>
          </a:gsLst>
          <a:lin ang="5400000" scaled="1"/>
        </a:gradFill>
        <a:ln w="12700">
          <a:solidFill>
            <a:srgbClr val="808080"/>
          </a:solidFill>
          <a:prstDash val="solid"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8.4307149099376991E-2"/>
          <c:y val="9.0110001601118567E-2"/>
          <c:w val="0.5032908580626595"/>
          <c:h val="8.4546352382416867E-2"/>
        </c:manualLayout>
      </c:layout>
      <c:overlay val="0"/>
      <c:txPr>
        <a:bodyPr/>
        <a:lstStyle/>
        <a:p>
          <a:pPr>
            <a:defRPr sz="1100" b="1"/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solidFill>
        <a:sysClr val="windowText" lastClr="000000"/>
      </a:solidFill>
      <a:round/>
    </a:ln>
    <a:effectLst/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+mn-lt"/>
          <a:ea typeface="Calibri"/>
          <a:cs typeface="Arial" panose="020B0604020202020204" pitchFamily="34" charset="0"/>
        </a:defRPr>
      </a:pPr>
      <a:endParaRPr lang="cs-CZ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7996170670512663E-2"/>
          <c:y val="7.2343746931882891E-2"/>
          <c:w val="0.89017041989201962"/>
          <c:h val="0.804158677456439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List1!$P$133</c:f>
              <c:strCache>
                <c:ptCount val="1"/>
                <c:pt idx="0">
                  <c:v>15-24 let</c:v>
                </c:pt>
              </c:strCache>
            </c:strRef>
          </c:tx>
          <c:spPr>
            <a:solidFill>
              <a:srgbClr val="6CA6DA"/>
            </a:solidFill>
            <a:ln w="12700" cap="rnd">
              <a:solidFill>
                <a:sysClr val="windowText" lastClr="000000"/>
              </a:solidFill>
              <a:round/>
            </a:ln>
            <a:effectLst/>
          </c:spPr>
          <c:invertIfNegative val="0"/>
          <c:dLbls>
            <c:dLbl>
              <c:idx val="3"/>
              <c:layout>
                <c:manualLayout>
                  <c:x val="-5.0219711236661312E-3"/>
                  <c:y val="8.298297940030223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 </a:t>
                    </a:r>
                    <a:fld id="{1A411E67-2919-4DD7-99B6-94E46C84D8D6}" type="VALUE">
                      <a:rPr lang="en-US"/>
                      <a:pPr/>
                      <a:t>[HODNOTA]</a:t>
                    </a:fld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8616-4FDA-9680-A9A7DEABE95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List1!$O$134:$O$137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List1!$P$134:$P$137</c:f>
              <c:numCache>
                <c:formatCode>0.0</c:formatCode>
                <c:ptCount val="4"/>
                <c:pt idx="0">
                  <c:v>6.3</c:v>
                </c:pt>
                <c:pt idx="1">
                  <c:v>6.6</c:v>
                </c:pt>
                <c:pt idx="2">
                  <c:v>9</c:v>
                </c:pt>
                <c:pt idx="3">
                  <c:v>11.5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16-4FDA-9680-A9A7DEABE95F}"/>
            </c:ext>
          </c:extLst>
        </c:ser>
        <c:ser>
          <c:idx val="1"/>
          <c:order val="1"/>
          <c:tx>
            <c:strRef>
              <c:f>List1!$Q$133</c:f>
              <c:strCache>
                <c:ptCount val="1"/>
                <c:pt idx="0">
                  <c:v>25-44 let</c:v>
                </c:pt>
              </c:strCache>
            </c:strRef>
          </c:tx>
          <c:spPr>
            <a:solidFill>
              <a:srgbClr val="87BF61"/>
            </a:solidFill>
            <a:ln w="12700">
              <a:solidFill>
                <a:sysClr val="windowText" lastClr="000000"/>
              </a:solidFill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8616-4FDA-9680-A9A7DEABE95F}"/>
              </c:ext>
            </c:extLst>
          </c:dPt>
          <c:dLbls>
            <c:dLbl>
              <c:idx val="0"/>
              <c:layout>
                <c:manualLayout>
                  <c:x val="0"/>
                  <c:y val="7.79324743497970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16-4FDA-9680-A9A7DEABE95F}"/>
                </c:ext>
              </c:extLst>
            </c:dLbl>
            <c:dLbl>
              <c:idx val="1"/>
              <c:layout>
                <c:manualLayout>
                  <c:x val="-4.603420350922483E-17"/>
                  <c:y val="7.28819692992920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616-4FDA-9680-A9A7DEABE95F}"/>
                </c:ext>
              </c:extLst>
            </c:dLbl>
            <c:dLbl>
              <c:idx val="2"/>
              <c:layout>
                <c:manualLayout>
                  <c:x val="0"/>
                  <c:y val="6.783162687731125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616-4FDA-9680-A9A7DEABE95F}"/>
                </c:ext>
              </c:extLst>
            </c:dLbl>
            <c:dLbl>
              <c:idx val="3"/>
              <c:layout>
                <c:manualLayout>
                  <c:x val="-1.8071090731935723E-16"/>
                  <c:y val="7.581884732459545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616-4FDA-9680-A9A7DEABE95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List1!$O$134:$O$137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List1!$Q$134:$Q$137</c:f>
              <c:numCache>
                <c:formatCode>0.0</c:formatCode>
                <c:ptCount val="4"/>
                <c:pt idx="0">
                  <c:v>2</c:v>
                </c:pt>
                <c:pt idx="1">
                  <c:v>2.5</c:v>
                </c:pt>
                <c:pt idx="2">
                  <c:v>4.0999999999999996</c:v>
                </c:pt>
                <c:pt idx="3">
                  <c:v>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616-4FDA-9680-A9A7DEABE95F}"/>
            </c:ext>
          </c:extLst>
        </c:ser>
        <c:ser>
          <c:idx val="2"/>
          <c:order val="2"/>
          <c:tx>
            <c:strRef>
              <c:f>List1!$R$133</c:f>
              <c:strCache>
                <c:ptCount val="1"/>
                <c:pt idx="0">
                  <c:v>45-64 let</c:v>
                </c:pt>
              </c:strCache>
            </c:strRef>
          </c:tx>
          <c:spPr>
            <a:solidFill>
              <a:srgbClr val="F09456"/>
            </a:solidFill>
            <a:ln w="12700">
              <a:solidFill>
                <a:sysClr val="windowText" lastClr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2.2588863414919654E-17"/>
                  <c:y val="1.895392568740394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616-4FDA-9680-A9A7DEABE95F}"/>
                </c:ext>
              </c:extLst>
            </c:dLbl>
            <c:dLbl>
              <c:idx val="1"/>
              <c:layout>
                <c:manualLayout>
                  <c:x val="0"/>
                  <c:y val="2.55194837865714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616-4FDA-9680-A9A7DEABE95F}"/>
                </c:ext>
              </c:extLst>
            </c:dLbl>
            <c:dLbl>
              <c:idx val="3"/>
              <c:layout>
                <c:manualLayout>
                  <c:x val="0"/>
                  <c:y val="8.216455897558250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B2C-4980-BFE2-A6E41C23EA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List1!$O$134:$O$137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List1!$R$134:$R$137</c:f>
              <c:numCache>
                <c:formatCode>0.0</c:formatCode>
                <c:ptCount val="4"/>
                <c:pt idx="0">
                  <c:v>0.7</c:v>
                </c:pt>
                <c:pt idx="1">
                  <c:v>0.5</c:v>
                </c:pt>
                <c:pt idx="2">
                  <c:v>1.4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616-4FDA-9680-A9A7DEABE95F}"/>
            </c:ext>
          </c:extLst>
        </c:ser>
        <c:ser>
          <c:idx val="3"/>
          <c:order val="3"/>
          <c:tx>
            <c:strRef>
              <c:f>List1!$S$133</c:f>
              <c:strCache>
                <c:ptCount val="1"/>
                <c:pt idx="0">
                  <c:v>65+ let</c:v>
                </c:pt>
              </c:strCache>
            </c:strRef>
          </c:tx>
          <c:spPr>
            <a:solidFill>
              <a:srgbClr val="A7A7A7"/>
            </a:solidFill>
            <a:ln w="12700">
              <a:solidFill>
                <a:sysClr val="windowText" lastClr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0"/>
                  <c:y val="2.152587356292923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616-4FDA-9680-A9A7DEABE95F}"/>
                </c:ext>
              </c:extLst>
            </c:dLbl>
            <c:dLbl>
              <c:idx val="3"/>
              <c:layout>
                <c:manualLayout>
                  <c:x val="0"/>
                  <c:y val="6.793406506004931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616-4FDA-9680-A9A7DEABE95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List1!$O$134:$O$137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List1!$S$134:$S$137</c:f>
              <c:numCache>
                <c:formatCode>0.0</c:formatCode>
                <c:ptCount val="4"/>
                <c:pt idx="0">
                  <c:v>0.5</c:v>
                </c:pt>
                <c:pt idx="1">
                  <c:v>0.2</c:v>
                </c:pt>
                <c:pt idx="2">
                  <c:v>0.2</c:v>
                </c:pt>
                <c:pt idx="3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616-4FDA-9680-A9A7DEABE9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2"/>
        <c:axId val="332754648"/>
        <c:axId val="1"/>
      </c:barChart>
      <c:catAx>
        <c:axId val="332754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3175" cap="flat" cmpd="sng" algn="ctr">
            <a:solidFill>
              <a:schemeClr val="tx1"/>
            </a:solidFill>
            <a:round/>
          </a:ln>
          <a:effectLst/>
        </c:spPr>
        <c:txPr>
          <a:bodyPr rot="0" vert="horz"/>
          <a:lstStyle/>
          <a:p>
            <a:pPr>
              <a:defRPr sz="1100" b="1"/>
            </a:pPr>
            <a:endParaRPr lang="cs-CZ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12"/>
          <c:min val="0"/>
        </c:scaling>
        <c:delete val="0"/>
        <c:axPos val="l"/>
        <c:majorGridlines>
          <c:spPr>
            <a:ln w="3175" cap="flat" cmpd="sng" algn="ctr">
              <a:solidFill>
                <a:srgbClr val="E7E6E6">
                  <a:lumMod val="90000"/>
                </a:srgbClr>
              </a:solidFill>
              <a:round/>
            </a:ln>
            <a:effectLst/>
          </c:spPr>
        </c:majorGridlines>
        <c:title>
          <c:tx>
            <c:rich>
              <a:bodyPr rot="0" vert="horz"/>
              <a:lstStyle/>
              <a:p>
                <a:pPr>
                  <a:defRPr sz="1000" b="1"/>
                </a:pPr>
                <a:r>
                  <a:rPr lang="cs-CZ" sz="1000"/>
                  <a:t>%</a:t>
                </a:r>
              </a:p>
            </c:rich>
          </c:tx>
          <c:layout>
            <c:manualLayout>
              <c:xMode val="edge"/>
              <c:yMode val="edge"/>
              <c:x val="0"/>
              <c:y val="0.42774357750735703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/>
            </a:pPr>
            <a:endParaRPr lang="cs-CZ"/>
          </a:p>
        </c:txPr>
        <c:crossAx val="332754648"/>
        <c:crosses val="autoZero"/>
        <c:crossBetween val="between"/>
        <c:majorUnit val="2"/>
      </c:valAx>
      <c:spPr>
        <a:gradFill>
          <a:gsLst>
            <a:gs pos="20000">
              <a:srgbClr val="5B9BD5">
                <a:lumMod val="10000"/>
                <a:lumOff val="90000"/>
              </a:srgbClr>
            </a:gs>
            <a:gs pos="74000">
              <a:srgbClr val="5B9BD5">
                <a:lumMod val="45000"/>
                <a:lumOff val="55000"/>
              </a:srgbClr>
            </a:gs>
            <a:gs pos="83000">
              <a:srgbClr val="5B9BD5">
                <a:lumMod val="45000"/>
                <a:lumOff val="55000"/>
              </a:srgbClr>
            </a:gs>
            <a:gs pos="100000">
              <a:srgbClr val="5B9BD5">
                <a:lumMod val="30000"/>
                <a:lumOff val="70000"/>
              </a:srgbClr>
            </a:gs>
          </a:gsLst>
          <a:lin ang="5400000" scaled="1"/>
        </a:gra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9.3109969386913516E-2"/>
          <c:y val="9.4801577946469262E-2"/>
          <c:w val="0.63873491783952141"/>
          <c:h val="7.6452763763810966E-2"/>
        </c:manualLayout>
      </c:layout>
      <c:overlay val="0"/>
      <c:txPr>
        <a:bodyPr/>
        <a:lstStyle/>
        <a:p>
          <a:pPr>
            <a:defRPr sz="1000" b="1"/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solidFill>
        <a:sysClr val="windowText" lastClr="000000"/>
      </a:solidFill>
      <a:round/>
    </a:ln>
    <a:effectLst/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+mn-lt"/>
          <a:ea typeface="Calibri"/>
          <a:cs typeface="Arial" panose="020B0604020202020204" pitchFamily="34" charset="0"/>
        </a:defRPr>
      </a:pPr>
      <a:endParaRPr lang="cs-CZ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1008920425309281E-2"/>
          <c:y val="7.3783996814639652E-2"/>
          <c:w val="0.88550532501394497"/>
          <c:h val="0.742663379198812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Alkohol!$A$32</c:f>
              <c:strCache>
                <c:ptCount val="1"/>
                <c:pt idx="0">
                  <c:v>15–24 let</c:v>
                </c:pt>
              </c:strCache>
            </c:strRef>
          </c:tx>
          <c:spPr>
            <a:solidFill>
              <a:srgbClr val="6CA6DA"/>
            </a:solidFill>
            <a:ln w="9525" cap="rnd">
              <a:solidFill>
                <a:sysClr val="windowText" lastClr="000000"/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6.095946340040812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01B-4E0B-8F5A-C8E678867D6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Alkohol!$B$31:$E$31</c:f>
              <c:strCache>
                <c:ptCount val="4"/>
                <c:pt idx="0">
                  <c:v>Abstinující (celoživotní a v posledním roce)</c:v>
                </c:pt>
                <c:pt idx="1">
                  <c:v>Umírněné pití</c:v>
                </c:pt>
                <c:pt idx="2">
                  <c:v>Rizikové pití</c:v>
                </c:pt>
                <c:pt idx="3">
                  <c:v>Škodlivé pití</c:v>
                </c:pt>
              </c:strCache>
            </c:strRef>
          </c:cat>
          <c:val>
            <c:numRef>
              <c:f>Alkohol!$B$32:$E$32</c:f>
              <c:numCache>
                <c:formatCode>0.0</c:formatCode>
                <c:ptCount val="4"/>
                <c:pt idx="0">
                  <c:v>7.1</c:v>
                </c:pt>
                <c:pt idx="1">
                  <c:v>29.9</c:v>
                </c:pt>
                <c:pt idx="2">
                  <c:v>26.3</c:v>
                </c:pt>
                <c:pt idx="3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1B-4E0B-8F5A-C8E678867D67}"/>
            </c:ext>
          </c:extLst>
        </c:ser>
        <c:ser>
          <c:idx val="1"/>
          <c:order val="1"/>
          <c:tx>
            <c:strRef>
              <c:f>Alkohol!$A$33</c:f>
              <c:strCache>
                <c:ptCount val="1"/>
                <c:pt idx="0">
                  <c:v>25–44 let</c:v>
                </c:pt>
              </c:strCache>
            </c:strRef>
          </c:tx>
          <c:spPr>
            <a:solidFill>
              <a:srgbClr val="87BF61"/>
            </a:solidFill>
            <a:ln w="9525">
              <a:solidFill>
                <a:sysClr val="windowText" lastClr="000000"/>
              </a:solidFill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C01B-4E0B-8F5A-C8E678867D6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Alkohol!$B$31:$E$31</c:f>
              <c:strCache>
                <c:ptCount val="4"/>
                <c:pt idx="0">
                  <c:v>Abstinující (celoživotní a v posledním roce)</c:v>
                </c:pt>
                <c:pt idx="1">
                  <c:v>Umírněné pití</c:v>
                </c:pt>
                <c:pt idx="2">
                  <c:v>Rizikové pití</c:v>
                </c:pt>
                <c:pt idx="3">
                  <c:v>Škodlivé pití</c:v>
                </c:pt>
              </c:strCache>
            </c:strRef>
          </c:cat>
          <c:val>
            <c:numRef>
              <c:f>Alkohol!$B$33:$E$33</c:f>
              <c:numCache>
                <c:formatCode>0.0</c:formatCode>
                <c:ptCount val="4"/>
                <c:pt idx="0">
                  <c:v>11.5</c:v>
                </c:pt>
                <c:pt idx="1">
                  <c:v>24</c:v>
                </c:pt>
                <c:pt idx="2">
                  <c:v>40</c:v>
                </c:pt>
                <c:pt idx="3">
                  <c:v>38.9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01B-4E0B-8F5A-C8E678867D67}"/>
            </c:ext>
          </c:extLst>
        </c:ser>
        <c:ser>
          <c:idx val="2"/>
          <c:order val="2"/>
          <c:tx>
            <c:strRef>
              <c:f>Alkohol!$A$34</c:f>
              <c:strCache>
                <c:ptCount val="1"/>
                <c:pt idx="0">
                  <c:v>45–64 let</c:v>
                </c:pt>
              </c:strCache>
            </c:strRef>
          </c:tx>
          <c:spPr>
            <a:solidFill>
              <a:srgbClr val="F09456"/>
            </a:solidFill>
            <a:ln w="9525">
              <a:solidFill>
                <a:sysClr val="windowText" lastClr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Alkohol!$B$31:$E$31</c:f>
              <c:strCache>
                <c:ptCount val="4"/>
                <c:pt idx="0">
                  <c:v>Abstinující (celoživotní a v posledním roce)</c:v>
                </c:pt>
                <c:pt idx="1">
                  <c:v>Umírněné pití</c:v>
                </c:pt>
                <c:pt idx="2">
                  <c:v>Rizikové pití</c:v>
                </c:pt>
                <c:pt idx="3">
                  <c:v>Škodlivé pití</c:v>
                </c:pt>
              </c:strCache>
            </c:strRef>
          </c:cat>
          <c:val>
            <c:numRef>
              <c:f>Alkohol!$B$34:$E$34</c:f>
              <c:numCache>
                <c:formatCode>0.0</c:formatCode>
                <c:ptCount val="4"/>
                <c:pt idx="0">
                  <c:v>24.1</c:v>
                </c:pt>
                <c:pt idx="1">
                  <c:v>24</c:v>
                </c:pt>
                <c:pt idx="2">
                  <c:v>32.1</c:v>
                </c:pt>
                <c:pt idx="3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01B-4E0B-8F5A-C8E678867D67}"/>
            </c:ext>
          </c:extLst>
        </c:ser>
        <c:ser>
          <c:idx val="3"/>
          <c:order val="3"/>
          <c:tx>
            <c:strRef>
              <c:f>Alkohol!$A$35</c:f>
              <c:strCache>
                <c:ptCount val="1"/>
                <c:pt idx="0">
                  <c:v>65+ let</c:v>
                </c:pt>
              </c:strCache>
            </c:strRef>
          </c:tx>
          <c:spPr>
            <a:solidFill>
              <a:srgbClr val="A7A7A7"/>
            </a:solidFill>
            <a:ln w="9525">
              <a:solidFill>
                <a:sysClr val="windowText" lastClr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0"/>
                  <c:y val="6.487670522666148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01B-4E0B-8F5A-C8E678867D6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Alkohol!$B$31:$E$31</c:f>
              <c:strCache>
                <c:ptCount val="4"/>
                <c:pt idx="0">
                  <c:v>Abstinující (celoživotní a v posledním roce)</c:v>
                </c:pt>
                <c:pt idx="1">
                  <c:v>Umírněné pití</c:v>
                </c:pt>
                <c:pt idx="2">
                  <c:v>Rizikové pití</c:v>
                </c:pt>
                <c:pt idx="3">
                  <c:v>Škodlivé pití</c:v>
                </c:pt>
              </c:strCache>
            </c:strRef>
          </c:cat>
          <c:val>
            <c:numRef>
              <c:f>Alkohol!$B$35:$E$35</c:f>
              <c:numCache>
                <c:formatCode>0.0</c:formatCode>
                <c:ptCount val="4"/>
                <c:pt idx="0">
                  <c:v>11.9</c:v>
                </c:pt>
                <c:pt idx="1">
                  <c:v>17.7</c:v>
                </c:pt>
                <c:pt idx="2">
                  <c:v>36.700000000000003</c:v>
                </c:pt>
                <c:pt idx="3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01B-4E0B-8F5A-C8E678867D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97"/>
        <c:overlap val="-9"/>
        <c:axId val="333350944"/>
        <c:axId val="1"/>
      </c:barChart>
      <c:catAx>
        <c:axId val="333350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3175" cap="flat" cmpd="sng" algn="ctr">
            <a:solidFill>
              <a:schemeClr val="tx1"/>
            </a:solidFill>
            <a:round/>
          </a:ln>
          <a:effectLst/>
        </c:spPr>
        <c:txPr>
          <a:bodyPr rot="0" vert="horz"/>
          <a:lstStyle/>
          <a:p>
            <a:pPr>
              <a:defRPr sz="1100" b="1"/>
            </a:pPr>
            <a:endParaRPr lang="cs-CZ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100"/>
          <c:min val="0"/>
        </c:scaling>
        <c:delete val="0"/>
        <c:axPos val="l"/>
        <c:majorGridlines>
          <c:spPr>
            <a:ln w="3175" cap="flat" cmpd="sng" algn="ctr">
              <a:solidFill>
                <a:srgbClr val="E7E6E6">
                  <a:lumMod val="90000"/>
                </a:srgbClr>
              </a:solidFill>
              <a:round/>
            </a:ln>
            <a:effectLst/>
          </c:spPr>
        </c:majorGridlines>
        <c:title>
          <c:tx>
            <c:rich>
              <a:bodyPr rot="0" vert="horz"/>
              <a:lstStyle/>
              <a:p>
                <a:pPr>
                  <a:defRPr sz="1000" b="1"/>
                </a:pPr>
                <a:r>
                  <a:rPr lang="cs-CZ"/>
                  <a:t>%</a:t>
                </a:r>
              </a:p>
            </c:rich>
          </c:tx>
          <c:layout>
            <c:manualLayout>
              <c:xMode val="edge"/>
              <c:yMode val="edge"/>
              <c:x val="0"/>
              <c:y val="0.42711373116792956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/>
            </a:pPr>
            <a:endParaRPr lang="cs-CZ"/>
          </a:p>
        </c:txPr>
        <c:crossAx val="333350944"/>
        <c:crosses val="autoZero"/>
        <c:crossBetween val="between"/>
        <c:majorUnit val="10"/>
      </c:valAx>
      <c:spPr>
        <a:gradFill flip="none" rotWithShape="1">
          <a:gsLst>
            <a:gs pos="0">
              <a:srgbClr val="5B9BD5">
                <a:lumMod val="5000"/>
                <a:lumOff val="95000"/>
              </a:srgbClr>
            </a:gs>
            <a:gs pos="74000">
              <a:srgbClr val="5B9BD5">
                <a:lumMod val="45000"/>
                <a:lumOff val="55000"/>
              </a:srgbClr>
            </a:gs>
            <a:gs pos="83000">
              <a:srgbClr val="5B9BD5">
                <a:lumMod val="45000"/>
                <a:lumOff val="55000"/>
              </a:srgbClr>
            </a:gs>
            <a:gs pos="100000">
              <a:srgbClr val="5B9BD5">
                <a:lumMod val="30000"/>
                <a:lumOff val="70000"/>
              </a:srgbClr>
            </a:gs>
          </a:gsLst>
          <a:lin ang="5400000" scaled="1"/>
          <a:tileRect/>
        </a:gra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8.8415944981158748E-2"/>
          <c:y val="0.14542051447891485"/>
          <c:w val="0.60804454363240124"/>
          <c:h val="7.5831150315369689E-2"/>
        </c:manualLayout>
      </c:layout>
      <c:overlay val="0"/>
      <c:txPr>
        <a:bodyPr/>
        <a:lstStyle/>
        <a:p>
          <a:pPr>
            <a:defRPr sz="1100" b="1"/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solidFill>
        <a:sysClr val="windowText" lastClr="000000"/>
      </a:solidFill>
      <a:round/>
    </a:ln>
    <a:effectLst/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+mn-lt"/>
          <a:ea typeface="Calibri"/>
          <a:cs typeface="Arial" panose="020B0604020202020204" pitchFamily="34" charset="0"/>
        </a:defRPr>
      </a:pPr>
      <a:endParaRPr lang="cs-CZ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7440507436570428E-2"/>
          <c:y val="7.2343746931882891E-2"/>
          <c:w val="0.87072594050743657"/>
          <c:h val="0.7867490570301228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List1!$B$623</c:f>
              <c:strCache>
                <c:ptCount val="1"/>
                <c:pt idx="0">
                  <c:v>Alespoň jednou</c:v>
                </c:pt>
              </c:strCache>
            </c:strRef>
          </c:tx>
          <c:spPr>
            <a:solidFill>
              <a:srgbClr val="6CA6DA"/>
            </a:solidFill>
            <a:ln w="9525" cap="rnd">
              <a:solidFill>
                <a:srgbClr val="E7E6E6">
                  <a:lumMod val="25000"/>
                </a:srgb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7.468734100545124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569-4EE9-884F-60740089D6FC}"/>
                </c:ext>
              </c:extLst>
            </c:dLbl>
            <c:dLbl>
              <c:idx val="1"/>
              <c:layout>
                <c:manualLayout>
                  <c:x val="2.4700477168313519E-4"/>
                  <c:y val="7.42799919240864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2FA-4DD8-99D7-4585F3C5A052}"/>
                </c:ext>
              </c:extLst>
            </c:dLbl>
            <c:dLbl>
              <c:idx val="2"/>
              <c:layout>
                <c:manualLayout>
                  <c:x val="0"/>
                  <c:y val="7.214707757113773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2FA-4DD8-99D7-4585F3C5A052}"/>
                </c:ext>
              </c:extLst>
            </c:dLbl>
            <c:dLbl>
              <c:idx val="3"/>
              <c:layout>
                <c:manualLayout>
                  <c:x val="-1.8344586914370271E-16"/>
                  <c:y val="6.77491621239652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2FA-4DD8-99D7-4585F3C5A052}"/>
                </c:ext>
              </c:extLst>
            </c:dLbl>
            <c:dLbl>
              <c:idx val="4"/>
              <c:layout>
                <c:manualLayout>
                  <c:x val="-8.5820125323601069E-17"/>
                  <c:y val="7.320877557864900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2FA-4DD8-99D7-4585F3C5A052}"/>
                </c:ext>
              </c:extLst>
            </c:dLbl>
            <c:dLbl>
              <c:idx val="5"/>
              <c:layout>
                <c:manualLayout>
                  <c:x val="0"/>
                  <c:y val="6.412406732505888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2FA-4DD8-99D7-4585F3C5A052}"/>
                </c:ext>
              </c:extLst>
            </c:dLbl>
            <c:dLbl>
              <c:idx val="6"/>
              <c:layout>
                <c:manualLayout>
                  <c:x val="-2.2545516646491921E-3"/>
                  <c:y val="6.412406732505888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2FA-4DD8-99D7-4585F3C5A052}"/>
                </c:ext>
              </c:extLst>
            </c:dLbl>
            <c:dLbl>
              <c:idx val="7"/>
              <c:layout>
                <c:manualLayout>
                  <c:x val="8.2665939406481158E-17"/>
                  <c:y val="6.813557244809831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2FA-4DD8-99D7-4585F3C5A052}"/>
                </c:ext>
              </c:extLst>
            </c:dLbl>
            <c:dLbl>
              <c:idx val="8"/>
              <c:layout>
                <c:manualLayout>
                  <c:x val="-8.2665939406481158E-17"/>
                  <c:y val="6.41240673250588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2FA-4DD8-99D7-4585F3C5A052}"/>
                </c:ext>
              </c:extLst>
            </c:dLbl>
            <c:dLbl>
              <c:idx val="9"/>
              <c:layout>
                <c:manualLayout>
                  <c:x val="0"/>
                  <c:y val="6.813557244809838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2FA-4DD8-99D7-4585F3C5A052}"/>
                </c:ext>
              </c:extLst>
            </c:dLbl>
            <c:dLbl>
              <c:idx val="10"/>
              <c:layout>
                <c:manualLayout>
                  <c:x val="0"/>
                  <c:y val="6.813557244809836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2FA-4DD8-99D7-4585F3C5A052}"/>
                </c:ext>
              </c:extLst>
            </c:dLbl>
            <c:dLbl>
              <c:idx val="11"/>
              <c:layout>
                <c:manualLayout>
                  <c:x val="0"/>
                  <c:y val="8.528040243279046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2FA-4DD8-99D7-4585F3C5A052}"/>
                </c:ext>
              </c:extLst>
            </c:dLbl>
            <c:spPr>
              <a:noFill/>
              <a:ln w="25400">
                <a:noFill/>
              </a:ln>
            </c:spPr>
            <c:txPr>
              <a:bodyPr anchorCtr="0"/>
              <a:lstStyle/>
              <a:p>
                <a:pPr algn="ctr">
                  <a:defRPr sz="800" b="1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List1!$A$624:$A$627</c:f>
              <c:strCache>
                <c:ptCount val="4"/>
                <c:pt idx="0">
                  <c:v>15-24 let</c:v>
                </c:pt>
                <c:pt idx="1">
                  <c:v>25-44 let</c:v>
                </c:pt>
                <c:pt idx="2">
                  <c:v>45-64 let</c:v>
                </c:pt>
                <c:pt idx="3">
                  <c:v>65+ let</c:v>
                </c:pt>
              </c:strCache>
            </c:strRef>
          </c:cat>
          <c:val>
            <c:numRef>
              <c:f>List1!$B$624:$B$627</c:f>
              <c:numCache>
                <c:formatCode>General</c:formatCode>
                <c:ptCount val="4"/>
                <c:pt idx="0">
                  <c:v>26.7</c:v>
                </c:pt>
                <c:pt idx="1">
                  <c:v>8.8000000000000007</c:v>
                </c:pt>
                <c:pt idx="2">
                  <c:v>2.6</c:v>
                </c:pt>
                <c:pt idx="3">
                  <c:v>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E2FA-4DD8-99D7-4585F3C5A052}"/>
            </c:ext>
          </c:extLst>
        </c:ser>
        <c:ser>
          <c:idx val="1"/>
          <c:order val="1"/>
          <c:tx>
            <c:strRef>
              <c:f>List1!$C$623</c:f>
              <c:strCache>
                <c:ptCount val="1"/>
                <c:pt idx="0">
                  <c:v>Celkem (denní a příležitostní)</c:v>
                </c:pt>
              </c:strCache>
            </c:strRef>
          </c:tx>
          <c:spPr>
            <a:solidFill>
              <a:srgbClr val="6B82A1"/>
            </a:solidFill>
            <a:ln w="9525">
              <a:solidFill>
                <a:srgbClr val="44546A">
                  <a:lumMod val="75000"/>
                </a:srgbClr>
              </a:solidFill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E2FA-4DD8-99D7-4585F3C5A052}"/>
              </c:ext>
            </c:extLst>
          </c:dPt>
          <c:dLbls>
            <c:dLbl>
              <c:idx val="0"/>
              <c:layout>
                <c:manualLayout>
                  <c:x val="0"/>
                  <c:y val="7.16123561477892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2FA-4DD8-99D7-4585F3C5A052}"/>
                </c:ext>
              </c:extLst>
            </c:dLbl>
            <c:dLbl>
              <c:idx val="2"/>
              <c:layout>
                <c:manualLayout>
                  <c:x val="-9.1722934571851356E-17"/>
                  <c:y val="2.055061578841106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2FA-4DD8-99D7-4585F3C5A052}"/>
                </c:ext>
              </c:extLst>
            </c:dLbl>
            <c:dLbl>
              <c:idx val="6"/>
              <c:layout>
                <c:manualLayout>
                  <c:x val="0"/>
                  <c:y val="6.412406732505888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E2FA-4DD8-99D7-4585F3C5A052}"/>
                </c:ext>
              </c:extLst>
            </c:dLbl>
            <c:dLbl>
              <c:idx val="7"/>
              <c:layout>
                <c:manualLayout>
                  <c:x val="0"/>
                  <c:y val="6.41240673250588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2FA-4DD8-99D7-4585F3C5A052}"/>
                </c:ext>
              </c:extLst>
            </c:dLbl>
            <c:dLbl>
              <c:idx val="8"/>
              <c:layout>
                <c:manualLayout>
                  <c:x val="0"/>
                  <c:y val="7.21470775711378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E2FA-4DD8-99D7-4585F3C5A052}"/>
                </c:ext>
              </c:extLst>
            </c:dLbl>
            <c:dLbl>
              <c:idx val="9"/>
              <c:layout>
                <c:manualLayout>
                  <c:x val="0"/>
                  <c:y val="6.813557244809838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2FA-4DD8-99D7-4585F3C5A052}"/>
                </c:ext>
              </c:extLst>
            </c:dLbl>
            <c:dLbl>
              <c:idx val="10"/>
              <c:layout>
                <c:manualLayout>
                  <c:x val="-8.6066846479414448E-5"/>
                  <c:y val="6.840106767160809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E2FA-4DD8-99D7-4585F3C5A052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List1!$A$624:$A$627</c:f>
              <c:strCache>
                <c:ptCount val="4"/>
                <c:pt idx="0">
                  <c:v>15-24 let</c:v>
                </c:pt>
                <c:pt idx="1">
                  <c:v>25-44 let</c:v>
                </c:pt>
                <c:pt idx="2">
                  <c:v>45-64 let</c:v>
                </c:pt>
                <c:pt idx="3">
                  <c:v>65+ let</c:v>
                </c:pt>
              </c:strCache>
            </c:strRef>
          </c:cat>
          <c:val>
            <c:numRef>
              <c:f>List1!$C$624:$C$627</c:f>
              <c:numCache>
                <c:formatCode>0.0</c:formatCode>
                <c:ptCount val="4"/>
                <c:pt idx="0">
                  <c:v>3.2</c:v>
                </c:pt>
                <c:pt idx="1">
                  <c:v>0.7</c:v>
                </c:pt>
                <c:pt idx="2">
                  <c:v>0.2</c:v>
                </c:pt>
                <c:pt idx="3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E2FA-4DD8-99D7-4585F3C5A0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8"/>
        <c:overlap val="-7"/>
        <c:axId val="338128784"/>
        <c:axId val="1"/>
      </c:barChart>
      <c:catAx>
        <c:axId val="338128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3175" cap="flat" cmpd="sng" algn="ctr">
            <a:solidFill>
              <a:schemeClr val="tx1"/>
            </a:solidFill>
            <a:round/>
          </a:ln>
          <a:effectLst/>
        </c:spPr>
        <c:txPr>
          <a:bodyPr rot="0" vert="horz"/>
          <a:lstStyle/>
          <a:p>
            <a:pPr>
              <a:defRPr sz="1100" b="1"/>
            </a:pPr>
            <a:endParaRPr lang="cs-CZ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30"/>
          <c:min val="0"/>
        </c:scaling>
        <c:delete val="0"/>
        <c:axPos val="l"/>
        <c:majorGridlines>
          <c:spPr>
            <a:ln w="3175" cap="flat" cmpd="sng" algn="ctr">
              <a:solidFill>
                <a:srgbClr val="E7E6E6">
                  <a:lumMod val="90000"/>
                </a:srgbClr>
              </a:solidFill>
              <a:round/>
            </a:ln>
            <a:effectLst/>
          </c:spPr>
        </c:majorGridlines>
        <c:title>
          <c:tx>
            <c:rich>
              <a:bodyPr rot="0" vert="horz"/>
              <a:lstStyle/>
              <a:p>
                <a:pPr>
                  <a:defRPr sz="1000" b="1"/>
                </a:pPr>
                <a:r>
                  <a:rPr lang="cs-CZ" sz="1000"/>
                  <a:t>%</a:t>
                </a: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/>
            </a:pPr>
            <a:endParaRPr lang="cs-CZ"/>
          </a:p>
        </c:txPr>
        <c:crossAx val="338128784"/>
        <c:crosses val="autoZero"/>
        <c:crossBetween val="between"/>
        <c:majorUnit val="5"/>
      </c:valAx>
      <c:spPr>
        <a:gradFill flip="none" rotWithShape="1">
          <a:gsLst>
            <a:gs pos="0">
              <a:srgbClr val="5B9BD5">
                <a:lumMod val="5000"/>
                <a:lumOff val="95000"/>
              </a:srgbClr>
            </a:gs>
            <a:gs pos="74000">
              <a:srgbClr val="5B9BD5">
                <a:lumMod val="45000"/>
                <a:lumOff val="55000"/>
              </a:srgbClr>
            </a:gs>
            <a:gs pos="83000">
              <a:srgbClr val="5B9BD5">
                <a:lumMod val="45000"/>
                <a:lumOff val="55000"/>
              </a:srgbClr>
            </a:gs>
            <a:gs pos="100000">
              <a:srgbClr val="5B9BD5">
                <a:lumMod val="30000"/>
                <a:lumOff val="70000"/>
              </a:srgbClr>
            </a:gs>
          </a:gsLst>
          <a:lin ang="5400000" scaled="1"/>
          <a:tileRect/>
        </a:gradFill>
        <a:ln w="12700">
          <a:solidFill>
            <a:srgbClr val="808080">
              <a:alpha val="97000"/>
            </a:srgbClr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51170078740157476"/>
          <c:y val="0.10960921551472733"/>
          <c:w val="0.4331622922134733"/>
          <c:h val="0.1719061679790026"/>
        </c:manualLayout>
      </c:layout>
      <c:overlay val="0"/>
      <c:txPr>
        <a:bodyPr/>
        <a:lstStyle/>
        <a:p>
          <a:pPr>
            <a:defRPr sz="1100" b="1"/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solidFill>
        <a:sysClr val="windowText" lastClr="000000"/>
      </a:solidFill>
      <a:round/>
    </a:ln>
    <a:effectLst/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+mn-lt"/>
          <a:ea typeface="Calibri"/>
          <a:cs typeface="Arial" panose="020B0604020202020204" pitchFamily="34" charset="0"/>
        </a:defRPr>
      </a:pPr>
      <a:endParaRPr lang="cs-CZ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325BC-9554-4F98-8619-D985367C9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1388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Hovorková</dc:creator>
  <cp:keywords/>
  <dc:description/>
  <cp:lastModifiedBy>Štěpánka Čechová</cp:lastModifiedBy>
  <cp:revision>2</cp:revision>
  <cp:lastPrinted>2024-05-27T13:40:00Z</cp:lastPrinted>
  <dcterms:created xsi:type="dcterms:W3CDTF">2024-05-27T13:45:00Z</dcterms:created>
  <dcterms:modified xsi:type="dcterms:W3CDTF">2024-05-27T13:45:00Z</dcterms:modified>
</cp:coreProperties>
</file>