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D72EB" w14:textId="109FD69D" w:rsidR="007C0AE9" w:rsidRPr="00D27385" w:rsidRDefault="002E19A1" w:rsidP="002066FB">
      <w:pPr>
        <w:jc w:val="center"/>
        <w:rPr>
          <w:b/>
          <w:sz w:val="24"/>
          <w:szCs w:val="24"/>
        </w:rPr>
      </w:pPr>
      <w:r w:rsidRPr="00D27385">
        <w:rPr>
          <w:b/>
          <w:sz w:val="24"/>
          <w:szCs w:val="24"/>
        </w:rPr>
        <w:t>22. 3. Světový den vody</w:t>
      </w:r>
    </w:p>
    <w:p w14:paraId="243FD515" w14:textId="23778FF8" w:rsidR="002E19A1" w:rsidRPr="00D27385" w:rsidRDefault="002E19A1" w:rsidP="00D27385">
      <w:pPr>
        <w:jc w:val="center"/>
        <w:rPr>
          <w:b/>
          <w:sz w:val="24"/>
          <w:szCs w:val="24"/>
        </w:rPr>
      </w:pPr>
      <w:proofErr w:type="gramStart"/>
      <w:r w:rsidRPr="00D27385">
        <w:rPr>
          <w:b/>
          <w:sz w:val="24"/>
          <w:szCs w:val="24"/>
        </w:rPr>
        <w:t>….aneb</w:t>
      </w:r>
      <w:proofErr w:type="gramEnd"/>
      <w:r w:rsidRPr="00D27385">
        <w:rPr>
          <w:b/>
          <w:sz w:val="24"/>
          <w:szCs w:val="24"/>
        </w:rPr>
        <w:t xml:space="preserve"> pijme vodu</w:t>
      </w:r>
      <w:r w:rsidR="001D5DFC" w:rsidRPr="00D27385">
        <w:rPr>
          <w:b/>
          <w:sz w:val="24"/>
          <w:szCs w:val="24"/>
        </w:rPr>
        <w:t>,</w:t>
      </w:r>
      <w:r w:rsidRPr="00D27385">
        <w:rPr>
          <w:b/>
          <w:sz w:val="24"/>
          <w:szCs w:val="24"/>
        </w:rPr>
        <w:t xml:space="preserve"> </w:t>
      </w:r>
      <w:r w:rsidR="001D5DFC" w:rsidRPr="00D27385">
        <w:rPr>
          <w:b/>
          <w:sz w:val="24"/>
          <w:szCs w:val="24"/>
        </w:rPr>
        <w:t xml:space="preserve">když ji máme, </w:t>
      </w:r>
      <w:r w:rsidRPr="00D27385">
        <w:rPr>
          <w:b/>
          <w:sz w:val="24"/>
          <w:szCs w:val="24"/>
        </w:rPr>
        <w:t>a pijme správně</w:t>
      </w:r>
    </w:p>
    <w:p w14:paraId="104B7341" w14:textId="64F19DCE" w:rsidR="001E19A9" w:rsidRDefault="00C85D72" w:rsidP="007C0AE9">
      <w:pPr>
        <w:jc w:val="both"/>
      </w:pPr>
      <w:r>
        <w:t xml:space="preserve">Nemalá část světa čelí nedostatku pitné vody, tedy vody bezpečné pro pití a přípravu jídla. Dle dat WHO </w:t>
      </w:r>
      <w:r w:rsidR="001E19A9">
        <w:t>se odhaduje</w:t>
      </w:r>
      <w:r w:rsidRPr="00C85D72">
        <w:t>, že 2 miliardy lidí na celém světě nemají přístup k</w:t>
      </w:r>
      <w:r w:rsidR="001E19A9">
        <w:t xml:space="preserve"> bezpečně spravované pitné vodě </w:t>
      </w:r>
      <w:r w:rsidR="001E19A9">
        <w:fldChar w:fldCharType="begin"/>
      </w:r>
      <w:r w:rsidR="001E19A9">
        <w:instrText xml:space="preserve"> ADDIN ZOTERO_ITEM CSL_CITATION {"citationID":"WV2BeC18","properties":{"formattedCitation":"(WHO, 2025)","plainCitation":"(WHO, 2025)","noteIndex":0},"citationItems":[{"id":6050,"uris":["http://zotero.org/users/8674049/items/HU3EPE4J"],"itemData":{"id":6050,"type":"webpage","abstract":"This strategic plan outlines the objectives and key activities for RegNet for the period 2023–2030.","language":"en","title":"WHO International Network of Drinking-water and Sanitation Regulators (RegNet): strategy 2023-2030","title-short":"WHO International Network of Drinking-water and Sanitation Regulators (RegNet)","URL":"https://www.who.int/publications/m/item/who-international-network-of-drinking-water-and-sanitation-regulators-(regnet)--strategy-2023-2030","author":[{"literal":"WHO"}],"accessed":{"date-parts":[["2025",3,5]]},"issued":{"date-parts":[["2025"]]}}}],"schema":"https://github.com/citation-style-language/schema/raw/master/csl-citation.json"} </w:instrText>
      </w:r>
      <w:r w:rsidR="001E19A9">
        <w:fldChar w:fldCharType="separate"/>
      </w:r>
      <w:r w:rsidR="001E19A9" w:rsidRPr="001E19A9">
        <w:rPr>
          <w:rFonts w:ascii="Calibri" w:hAnsi="Calibri" w:cs="Calibri"/>
        </w:rPr>
        <w:t>(WHO, 2025)</w:t>
      </w:r>
      <w:r w:rsidR="001E19A9">
        <w:fldChar w:fldCharType="end"/>
      </w:r>
      <w:r w:rsidR="001E19A9">
        <w:t xml:space="preserve">. </w:t>
      </w:r>
      <w:r>
        <w:t xml:space="preserve">Mikrobiální kontaminace pitné vody v důsledku znečištění výkaly představuje největší riziko pro bezpečnost pitné vody. Mikrobiologicky kontaminovaná pitná voda může přenášet nemoci, jako je průjem, cholera, úplavice, tyfus a dětská obrna, a podle odhadů způsobuje každoročně přibližně 505 000 úmrtí na průjmová onemocnění </w:t>
      </w:r>
      <w:r>
        <w:fldChar w:fldCharType="begin"/>
      </w:r>
      <w:r>
        <w:instrText xml:space="preserve"> ADDIN ZOTERO_ITEM CSL_CITATION {"citationID":"286ek14v","properties":{"formattedCitation":"(WHO, 2023)","plainCitation":"(WHO, 2023)","noteIndex":0},"citationItems":[{"id":6048,"uris":["http://zotero.org/users/8674049/items/JHUFFFZZ"],"itemData":{"id":6048,"type":"webpage","abstract":"WHO fact sheet on water: key facts, access to water, water and health","language":"en","title":"Drinking-water","URL":"https://www.who.int/news-room/fact-sheets/detail/drinking-water","author":[{"literal":"WHO"}],"accessed":{"date-parts":[["2025",3,5]]},"issued":{"date-parts":[["2023"]]}}}],"schema":"https://github.com/citation-style-language/schema/raw/master/csl-citation.json"} </w:instrText>
      </w:r>
      <w:r>
        <w:fldChar w:fldCharType="separate"/>
      </w:r>
      <w:r w:rsidRPr="00C85D72">
        <w:rPr>
          <w:rFonts w:ascii="Calibri" w:hAnsi="Calibri" w:cs="Calibri"/>
        </w:rPr>
        <w:t>(WHO, 2023)</w:t>
      </w:r>
      <w:r>
        <w:fldChar w:fldCharType="end"/>
      </w:r>
      <w:r w:rsidR="001E19A9">
        <w:t>.</w:t>
      </w:r>
    </w:p>
    <w:p w14:paraId="39913385" w14:textId="0A4D82AB" w:rsidR="008D7900" w:rsidRDefault="001E19A9" w:rsidP="007C0AE9">
      <w:pPr>
        <w:jc w:val="both"/>
      </w:pPr>
      <w:r w:rsidRPr="008500C5">
        <w:t xml:space="preserve">V České republice je </w:t>
      </w:r>
      <w:r w:rsidR="007C0AE9" w:rsidRPr="008500C5">
        <w:t>pitná voda</w:t>
      </w:r>
      <w:r w:rsidR="0069305A" w:rsidRPr="008500C5">
        <w:t xml:space="preserve"> velmi dostupná. Podle zprávy UN-</w:t>
      </w:r>
      <w:proofErr w:type="spellStart"/>
      <w:r w:rsidR="0069305A" w:rsidRPr="008500C5">
        <w:t>Water</w:t>
      </w:r>
      <w:proofErr w:type="spellEnd"/>
      <w:r w:rsidR="0069305A" w:rsidRPr="008500C5">
        <w:t xml:space="preserve"> z roku 2024 má 98% obyvatel přístup k bezpečně spravovaným zdrojům pitné vody. Tyto statistiky ukazují na silnou infrastrukturu a</w:t>
      </w:r>
      <w:r w:rsidR="00A524B6">
        <w:t> </w:t>
      </w:r>
      <w:r w:rsidR="0069305A" w:rsidRPr="008500C5">
        <w:t>závazek země k zajiště</w:t>
      </w:r>
      <w:r w:rsidR="008500C5" w:rsidRPr="008500C5">
        <w:t xml:space="preserve">ní čisté vody pro své obyvatele </w:t>
      </w:r>
      <w:r w:rsidR="008500C5" w:rsidRPr="008500C5">
        <w:fldChar w:fldCharType="begin"/>
      </w:r>
      <w:r w:rsidR="00B65000">
        <w:instrText xml:space="preserve"> ADDIN ZOTERO_ITEM CSL_CITATION {"citationID":"iCRcTBJh","properties":{"formattedCitation":"(UN Water, 2024)","plainCitation":"(UN Water, 2024)","noteIndex":0},"citationItems":[{"id":6065,"uris":["http://zotero.org/users/8674049/items/RK292HJN"],"itemData":{"id":6065,"type":"webpage","abstract":"UN-Water | Coordinating the UN's work on water and sanitation","container-title":"UN-Water","language":"en","title":"Country Acceleration Case Studies","URL":"https://www.unwater.org/publications/country-acceleration-case-studies","author":[{"literal":"UN Water"}],"accessed":{"date-parts":[["2025",3,5]]},"issued":{"date-parts":[["2024"]]}}}],"schema":"https://github.com/citation-style-language/schema/raw/master/csl-citation.json"} </w:instrText>
      </w:r>
      <w:r w:rsidR="008500C5" w:rsidRPr="008500C5">
        <w:fldChar w:fldCharType="separate"/>
      </w:r>
      <w:r w:rsidR="00B65000" w:rsidRPr="00B65000">
        <w:rPr>
          <w:rFonts w:ascii="Calibri" w:hAnsi="Calibri" w:cs="Calibri"/>
        </w:rPr>
        <w:t>(UN Water, 2024)</w:t>
      </w:r>
      <w:r w:rsidR="008500C5" w:rsidRPr="008500C5">
        <w:fldChar w:fldCharType="end"/>
      </w:r>
      <w:r w:rsidR="007C0AE9">
        <w:t xml:space="preserve"> </w:t>
      </w:r>
    </w:p>
    <w:p w14:paraId="127243EB" w14:textId="5C11F3B0" w:rsidR="001209B5" w:rsidRPr="008E3D6C" w:rsidRDefault="007C0AE9" w:rsidP="001209B5">
      <w:pPr>
        <w:jc w:val="both"/>
        <w:rPr>
          <w:color w:val="FF0000"/>
        </w:rPr>
      </w:pPr>
      <w:r w:rsidRPr="007C0AE9">
        <w:t xml:space="preserve">Voda je pro člověka nesmírně důležitá, protože je klíčová pro všechny životní procesy v těle. </w:t>
      </w:r>
      <w:r w:rsidR="004F03B7" w:rsidRPr="007C0AE9">
        <w:t xml:space="preserve">Bez vody by lidské tělo nebylo schopné fungovat a přežít. </w:t>
      </w:r>
      <w:r w:rsidR="001209B5" w:rsidRPr="00DA42B4">
        <w:t xml:space="preserve">Potraviny poskytují v průměru asi 20 % vody, což se může značně lišit v závislosti na druhu vybraných </w:t>
      </w:r>
      <w:r w:rsidR="001209B5" w:rsidRPr="008500C5">
        <w:t>potravin.</w:t>
      </w:r>
      <w:r w:rsidR="0028296C" w:rsidRPr="008500C5">
        <w:t xml:space="preserve"> Nejvíce vody se přirozeně vyskytuje v ovoci a zel</w:t>
      </w:r>
      <w:r w:rsidR="008E3D6C" w:rsidRPr="008500C5">
        <w:t>enině.</w:t>
      </w:r>
      <w:r w:rsidR="001209B5" w:rsidRPr="00DA42B4">
        <w:t xml:space="preserve"> Vodu získáváme také ze všech nápojů, které konzumujeme, s výjimkou alkoholických nápo</w:t>
      </w:r>
      <w:r w:rsidR="00E16910">
        <w:t xml:space="preserve">jů, jako jsou vína a destiláty </w:t>
      </w:r>
      <w:r w:rsidR="001209B5">
        <w:fldChar w:fldCharType="begin"/>
      </w:r>
      <w:r w:rsidR="00592C60">
        <w:instrText xml:space="preserve"> ADDIN ZOTERO_ITEM CSL_CITATION {"citationID":"qIBakuni","properties":{"formattedCitation":"(Benelam &amp; Wyness, 2010; Popkin et al., 2010)","plainCitation":"(Benelam &amp; Wyness, 2010; Popkin et al., 2010)","noteIndex":0},"citationItems":[{"id":6053,"uris":["http://zotero.org/users/8674049/items/IQ6LBJSK"],"itemData":{"id":6053,"type":"article-journal","container-title":"Nutrition Bulletin","issue":"1","note":"ISBN: 1471-9827\npublisher: Wiley Online Library","page":"3-25","title":"Hydration and health: a review","volume":"35","author":[{"family":"Benelam","given":"B."},{"family":"Wyness","given":"L."}],"issued":{"date-parts":[["2010"]]}}},{"id":6061,"uris":["http://zotero.org/users/8674049/items/4C2WNLSQ"],"itemData":{"id":6061,"type":"article-journal","container-title":"Nutrition Reviews","DOI":"10.1111/j.1753-4887.2010.00304.x","ISSN":"00296643","issue":"8","language":"en","page":"439-458","source":"DOI.org (Crossref)","title":"Water, hydration, and health: Nutrition Reviews©, Vol. 68, No. 8","title-short":"Water, hydration, and health","volume":"68","author":[{"family":"Popkin","given":"Barry M"},{"family":"D'Anci","given":"Kristen E"},{"family":"Rosenberg","given":"Irwin H"}],"issued":{"date-parts":[["2010",8]]}}}],"schema":"https://github.com/citation-style-language/schema/raw/master/csl-citation.json"} </w:instrText>
      </w:r>
      <w:r w:rsidR="001209B5">
        <w:fldChar w:fldCharType="separate"/>
      </w:r>
      <w:r w:rsidR="00592C60" w:rsidRPr="00592C60">
        <w:rPr>
          <w:rFonts w:ascii="Calibri" w:hAnsi="Calibri" w:cs="Calibri"/>
        </w:rPr>
        <w:t>(Benelam &amp; Wyness, 2010; Popkin et al., 2010)</w:t>
      </w:r>
      <w:r w:rsidR="001209B5">
        <w:fldChar w:fldCharType="end"/>
      </w:r>
      <w:r w:rsidR="001209B5">
        <w:t>.</w:t>
      </w:r>
      <w:r w:rsidR="008E3D6C">
        <w:t xml:space="preserve"> </w:t>
      </w:r>
    </w:p>
    <w:p w14:paraId="6F9B2FAE" w14:textId="61361CF1" w:rsidR="001209B5" w:rsidRPr="008500C5" w:rsidRDefault="006462D8" w:rsidP="001209B5">
      <w:pPr>
        <w:pStyle w:val="Odstavecseseznamem"/>
        <w:numPr>
          <w:ilvl w:val="0"/>
          <w:numId w:val="1"/>
        </w:numPr>
        <w:jc w:val="both"/>
      </w:pPr>
      <w:r>
        <w:rPr>
          <w:b/>
          <w:bCs/>
        </w:rPr>
        <w:t>Funkce buněk</w:t>
      </w:r>
      <w:r w:rsidR="001209B5" w:rsidRPr="007C0AE9">
        <w:t xml:space="preserve">: Voda tvoří přibližně 60 % tělesné hmotnosti dospělého člověka. Je nezbytná pro správné fungování buněk a orgánů. Bez dostatečného množství vody nemohou buňky vykonávat své základní </w:t>
      </w:r>
      <w:r w:rsidR="001209B5" w:rsidRPr="008500C5">
        <w:t>funkce</w:t>
      </w:r>
      <w:r w:rsidR="0028296C" w:rsidRPr="008500C5">
        <w:t xml:space="preserve">, neboť voda nacházející se uvnitř buněk tvoří až dvě třetiny celkového objemu vody v těle </w:t>
      </w:r>
      <w:r w:rsidR="001209B5" w:rsidRPr="008500C5">
        <w:fldChar w:fldCharType="begin"/>
      </w:r>
      <w:r w:rsidR="00592C60" w:rsidRPr="008500C5">
        <w:instrText xml:space="preserve"> ADDIN ZOTERO_ITEM CSL_CITATION {"citationID":"v1RT0dH3","properties":{"formattedCitation":"(Benelam &amp; Wyness, 2010; Tobias et al., 2022)","plainCitation":"(Benelam &amp; Wyness, 2010; Tobias et al., 2022)","noteIndex":0},"citationItems":[{"id":6053,"uris":["http://zotero.org/users/8674049/items/IQ6LBJSK"],"itemData":{"id":6053,"type":"article-journal","container-title":"Nutrition Bulletin","issue":"1","note":"ISBN: 1471-9827\npublisher: Wiley Online Library","page":"3-25","title":"Hydration and health: a review","volume":"35","author":[{"family":"Benelam","given":"B."},{"family":"Wyness","given":"L."}],"issued":{"date-parts":[["2010"]]}}},{"id":6064,"uris":["http://zotero.org/users/8674049/items/CPIDCMPI"],"itemData":{"id":6064,"type":"book","publisher":"StatPearls Publishing","title":"Physiology, Water Balance [Internet]","author":[{"family":"Tobias","given":"A."},{"family":"Ballard","given":"B. D."},{"family":"Mohiuddin","given":"S. S."}],"issued":{"date-parts":[["2022"]]}}}],"schema":"https://github.com/citation-style-language/schema/raw/master/csl-citation.json"} </w:instrText>
      </w:r>
      <w:r w:rsidR="001209B5" w:rsidRPr="008500C5">
        <w:fldChar w:fldCharType="separate"/>
      </w:r>
      <w:r w:rsidR="00592C60" w:rsidRPr="008500C5">
        <w:rPr>
          <w:rFonts w:ascii="Calibri" w:hAnsi="Calibri" w:cs="Calibri"/>
        </w:rPr>
        <w:t>(Benelam &amp; Wyness, 2010; Tobias et al., 2022)</w:t>
      </w:r>
      <w:r w:rsidR="001209B5" w:rsidRPr="008500C5">
        <w:fldChar w:fldCharType="end"/>
      </w:r>
      <w:r w:rsidR="001209B5" w:rsidRPr="008500C5">
        <w:t>.</w:t>
      </w:r>
    </w:p>
    <w:p w14:paraId="31F61157" w14:textId="77777777" w:rsidR="006462D8" w:rsidRPr="008500C5" w:rsidRDefault="006462D8" w:rsidP="006462D8">
      <w:pPr>
        <w:numPr>
          <w:ilvl w:val="0"/>
          <w:numId w:val="1"/>
        </w:numPr>
        <w:jc w:val="both"/>
      </w:pPr>
      <w:r w:rsidRPr="008500C5">
        <w:rPr>
          <w:b/>
          <w:bCs/>
        </w:rPr>
        <w:t>Transport živin a odpadních látek</w:t>
      </w:r>
      <w:r>
        <w:rPr>
          <w:b/>
          <w:bCs/>
        </w:rPr>
        <w:t xml:space="preserve"> a trávicí procesy</w:t>
      </w:r>
      <w:r w:rsidRPr="008500C5">
        <w:t>: Voda je prostředníkem pro transport živin, hormonů a</w:t>
      </w:r>
      <w:r>
        <w:t> </w:t>
      </w:r>
      <w:r w:rsidRPr="008500C5">
        <w:t xml:space="preserve">dalších důležitých látek v krvi a mezi buňkami. </w:t>
      </w:r>
      <w:r w:rsidRPr="008500C5">
        <w:fldChar w:fldCharType="begin"/>
      </w:r>
      <w:r w:rsidRPr="008500C5">
        <w:instrText xml:space="preserve"> ADDIN ZOTERO_ITEM CSL_CITATION {"citationID":"iCGuOmCS","properties":{"formattedCitation":"(Li et al., 2023)","plainCitation":"(Li et al., 2023)","noteIndex":0},"citationItems":[{"id":6052,"uris":["http://zotero.org/users/8674049/items/7DZFY86T"],"itemData":{"id":6052,"type":"article-journal","container-title":"Nutrients","issue":"11","note":"ISBN: 2072-6643\npublisher: MDPI","page":"2609","title":"Hydration status in older adults: current knowledge and future challenges","volume":"15","author":[{"family":"Li","given":"Shizhen"},{"family":"Xiao","given":"Xun"},{"family":"Zhang","given":"Xiangyu"}],"issued":{"date-parts":[["2023"]]}}}],"schema":"https://github.com/citation-style-language/schema/raw/master/csl-citation.json"} </w:instrText>
      </w:r>
      <w:r w:rsidRPr="008500C5">
        <w:fldChar w:fldCharType="separate"/>
      </w:r>
      <w:r w:rsidRPr="008500C5">
        <w:rPr>
          <w:rFonts w:ascii="Calibri" w:hAnsi="Calibri" w:cs="Calibri"/>
        </w:rPr>
        <w:t>(Li et al., 2023)</w:t>
      </w:r>
      <w:r w:rsidRPr="008500C5">
        <w:fldChar w:fldCharType="end"/>
      </w:r>
      <w:r w:rsidRPr="008500C5">
        <w:t>.</w:t>
      </w:r>
      <w:r w:rsidRPr="002279B5">
        <w:t xml:space="preserve"> </w:t>
      </w:r>
      <w:r w:rsidRPr="008500C5">
        <w:t xml:space="preserve">Voda je </w:t>
      </w:r>
      <w:r>
        <w:t xml:space="preserve">rovněž </w:t>
      </w:r>
      <w:r w:rsidRPr="008500C5">
        <w:t xml:space="preserve">klíčová pro trávení a vstřebávání živin, pomáhá v pohybu potravy trávicím traktem a podporuje vylučování odpadních látek </w:t>
      </w:r>
      <w:r w:rsidRPr="008500C5">
        <w:fldChar w:fldCharType="begin"/>
      </w:r>
      <w:r w:rsidRPr="008500C5">
        <w:instrText xml:space="preserve"> ADDIN ZOTERO_ITEM CSL_CITATION {"citationID":"fyIkADS1","properties":{"formattedCitation":"(J\\uc0\\u233{}quier &amp; Constant, 2010)","plainCitation":"(Jéquier &amp; Constant, 2010)","noteIndex":0},"citationItems":[{"id":6055,"uris":["http://zotero.org/users/8674049/items/TSWVQKH2"],"itemData":{"id":6055,"type":"article-journal","container-title":"European journal of clinical nutrition","issue":"2","note":"ISBN: 1476-5640\npublisher: Nature Publishing Group","page":"115-123","title":"Water as an essential nutrient: the physiological basis of hydration","volume":"64","author":[{"family":"Jéquier","given":"Eric"},{"family":"Constant","given":"Florence"}],"issued":{"date-parts":[["2010"]]}}}],"schema":"https://github.com/citation-style-language/schema/raw/master/csl-citation.json"} </w:instrText>
      </w:r>
      <w:r w:rsidRPr="008500C5">
        <w:fldChar w:fldCharType="separate"/>
      </w:r>
      <w:r w:rsidRPr="008500C5">
        <w:rPr>
          <w:rFonts w:ascii="Calibri" w:hAnsi="Calibri" w:cs="Calibri"/>
          <w:szCs w:val="24"/>
        </w:rPr>
        <w:t>(Jéquier &amp; Constant, 2010)</w:t>
      </w:r>
      <w:r w:rsidRPr="008500C5">
        <w:fldChar w:fldCharType="end"/>
      </w:r>
      <w:r w:rsidRPr="008500C5">
        <w:t>.</w:t>
      </w:r>
    </w:p>
    <w:p w14:paraId="7C552DD9" w14:textId="77777777" w:rsidR="006462D8" w:rsidRPr="008500C5" w:rsidRDefault="006462D8" w:rsidP="006462D8">
      <w:pPr>
        <w:numPr>
          <w:ilvl w:val="0"/>
          <w:numId w:val="1"/>
        </w:numPr>
        <w:jc w:val="both"/>
      </w:pPr>
      <w:r w:rsidRPr="008500C5">
        <w:rPr>
          <w:b/>
          <w:bCs/>
        </w:rPr>
        <w:t>Podpora kloubů a tkání</w:t>
      </w:r>
      <w:r w:rsidRPr="008500C5">
        <w:t xml:space="preserve">: Voda působí jako lubrikant pro klouby, pomáhá udržovat pružnost tkání a chrání vnitřní orgány před poškozením </w:t>
      </w:r>
      <w:r w:rsidRPr="008500C5">
        <w:fldChar w:fldCharType="begin"/>
      </w:r>
      <w:r w:rsidRPr="008500C5">
        <w:instrText xml:space="preserve"> ADDIN ZOTERO_ITEM CSL_CITATION {"citationID":"bhOXJ6dD","properties":{"formattedCitation":"(J\\uc0\\u233{}quier &amp; Constant, 2010)","plainCitation":"(Jéquier &amp; Constant, 2010)","noteIndex":0},"citationItems":[{"id":6055,"uris":["http://zotero.org/users/8674049/items/TSWVQKH2"],"itemData":{"id":6055,"type":"article-journal","container-title":"European journal of clinical nutrition","issue":"2","note":"ISBN: 1476-5640\npublisher: Nature Publishing Group","page":"115-123","title":"Water as an essential nutrient: the physiological basis of hydration","volume":"64","author":[{"family":"Jéquier","given":"Eric"},{"family":"Constant","given":"Florence"}],"issued":{"date-parts":[["2010"]]}}}],"schema":"https://github.com/citation-style-language/schema/raw/master/csl-citation.json"} </w:instrText>
      </w:r>
      <w:r w:rsidRPr="008500C5">
        <w:fldChar w:fldCharType="separate"/>
      </w:r>
      <w:r w:rsidRPr="008500C5">
        <w:rPr>
          <w:rFonts w:ascii="Calibri" w:hAnsi="Calibri" w:cs="Calibri"/>
          <w:szCs w:val="24"/>
        </w:rPr>
        <w:t>(Jéquier &amp; Constant, 2010)</w:t>
      </w:r>
      <w:r w:rsidRPr="008500C5">
        <w:fldChar w:fldCharType="end"/>
      </w:r>
      <w:r w:rsidRPr="008500C5">
        <w:t>.</w:t>
      </w:r>
    </w:p>
    <w:p w14:paraId="2F8108F8" w14:textId="31A53D76" w:rsidR="001209B5" w:rsidRPr="008500C5" w:rsidRDefault="0097784D" w:rsidP="001209B5">
      <w:pPr>
        <w:numPr>
          <w:ilvl w:val="0"/>
          <w:numId w:val="1"/>
        </w:numPr>
        <w:jc w:val="both"/>
      </w:pPr>
      <w:r>
        <w:rPr>
          <w:b/>
          <w:bCs/>
        </w:rPr>
        <w:t>Udržování stabilní</w:t>
      </w:r>
      <w:r w:rsidR="001209B5" w:rsidRPr="008500C5">
        <w:rPr>
          <w:b/>
          <w:bCs/>
        </w:rPr>
        <w:t xml:space="preserve"> tělesné teploty</w:t>
      </w:r>
      <w:r w:rsidR="001209B5" w:rsidRPr="008500C5">
        <w:t>: Voda pomáhá udržovat stabilní tělesnou teplotu prostřednictvím pocení a vypařování, což je klíčové pro prevenci přehřátí těla</w:t>
      </w:r>
      <w:r>
        <w:t>. Pot při odpařování odebírá teplo z těla, v</w:t>
      </w:r>
      <w:r w:rsidRPr="0097784D">
        <w:t>oda t</w:t>
      </w:r>
      <w:r>
        <w:t>ak</w:t>
      </w:r>
      <w:r w:rsidRPr="0097784D">
        <w:t xml:space="preserve"> funguje jako přírodní chladicí systém</w:t>
      </w:r>
      <w:r>
        <w:t xml:space="preserve"> </w:t>
      </w:r>
      <w:r w:rsidR="001209B5" w:rsidRPr="008500C5">
        <w:t xml:space="preserve"> </w:t>
      </w:r>
      <w:r w:rsidR="001209B5" w:rsidRPr="008500C5">
        <w:fldChar w:fldCharType="begin"/>
      </w:r>
      <w:r w:rsidR="001209B5" w:rsidRPr="008500C5">
        <w:instrText xml:space="preserve"> ADDIN ZOTERO_ITEM CSL_CITATION {"citationID":"btZxhJFY","properties":{"formattedCitation":"(Li et al., 2023)","plainCitation":"(Li et al., 2023)","noteIndex":0},"citationItems":[{"id":6052,"uris":["http://zotero.org/users/8674049/items/7DZFY86T"],"itemData":{"id":6052,"type":"article-journal","container-title":"Nutrients","issue":"11","note":"ISBN: 2072-6643\npublisher: MDPI","page":"2609","title":"Hydration status in older adults: current knowledge and future challenges","volume":"15","author":[{"family":"Li","given":"Shizhen"},{"family":"Xiao","given":"Xun"},{"family":"Zhang","given":"Xiangyu"}],"issued":{"date-parts":[["2023"]]}}}],"schema":"https://github.com/citation-style-language/schema/raw/master/csl-citation.json"} </w:instrText>
      </w:r>
      <w:r w:rsidR="001209B5" w:rsidRPr="008500C5">
        <w:fldChar w:fldCharType="separate"/>
      </w:r>
      <w:r w:rsidR="001209B5" w:rsidRPr="008500C5">
        <w:rPr>
          <w:rFonts w:ascii="Calibri" w:hAnsi="Calibri" w:cs="Calibri"/>
        </w:rPr>
        <w:t>(Li et al., 2023)</w:t>
      </w:r>
      <w:r w:rsidR="001209B5" w:rsidRPr="008500C5">
        <w:fldChar w:fldCharType="end"/>
      </w:r>
      <w:r w:rsidR="001209B5" w:rsidRPr="008500C5">
        <w:t>.</w:t>
      </w:r>
    </w:p>
    <w:p w14:paraId="2B2751B4" w14:textId="37140547" w:rsidR="007C1731" w:rsidRPr="008500C5" w:rsidRDefault="007C1731" w:rsidP="00BD7BA3">
      <w:pPr>
        <w:numPr>
          <w:ilvl w:val="0"/>
          <w:numId w:val="1"/>
        </w:numPr>
        <w:jc w:val="both"/>
      </w:pPr>
      <w:r w:rsidRPr="008500C5">
        <w:rPr>
          <w:b/>
          <w:bCs/>
        </w:rPr>
        <w:t>Pití čisté vody má pozitivní vliv na zdraví zubů a ústní dutiny</w:t>
      </w:r>
      <w:r w:rsidRPr="008500C5">
        <w:t xml:space="preserve">: </w:t>
      </w:r>
      <w:r w:rsidR="00F54DCD">
        <w:t xml:space="preserve">voda </w:t>
      </w:r>
      <w:r w:rsidR="00DE1179">
        <w:t>na</w:t>
      </w:r>
      <w:r w:rsidR="00F54DCD">
        <w:t xml:space="preserve">pomáhá </w:t>
      </w:r>
      <w:r w:rsidR="00DE1179">
        <w:t xml:space="preserve">k </w:t>
      </w:r>
      <w:r w:rsidR="00F54DCD">
        <w:t>p</w:t>
      </w:r>
      <w:r w:rsidRPr="008500C5">
        <w:t>revenc</w:t>
      </w:r>
      <w:r w:rsidR="00F54DCD">
        <w:t>i</w:t>
      </w:r>
      <w:r w:rsidRPr="008500C5">
        <w:t xml:space="preserve"> vzniku zubního kazu</w:t>
      </w:r>
      <w:r w:rsidR="00F54DCD">
        <w:t xml:space="preserve">, </w:t>
      </w:r>
      <w:r w:rsidRPr="008500C5">
        <w:t xml:space="preserve">proplachuje ústa a odstraňuje </w:t>
      </w:r>
      <w:r w:rsidR="008C6FEE" w:rsidRPr="008500C5">
        <w:t>zubní plak</w:t>
      </w:r>
      <w:r w:rsidRPr="008500C5">
        <w:t>, hydrat</w:t>
      </w:r>
      <w:r w:rsidR="00771785">
        <w:t>uje dásně, snižuje</w:t>
      </w:r>
      <w:r w:rsidRPr="008500C5">
        <w:t xml:space="preserve"> množství kyselin přijatých ve slazených nápojích a potravě </w:t>
      </w:r>
      <w:r w:rsidRPr="008500C5">
        <w:fldChar w:fldCharType="begin"/>
      </w:r>
      <w:r w:rsidRPr="008500C5">
        <w:instrText xml:space="preserve"> ADDIN ZOTERO_ITEM CSL_CITATION {"citationID":"UjCciCyR","properties":{"formattedCitation":"(\\uc0\\u199{}ak\\uc0\\u305{}r &amp; \\uc0\\u350{}ahin, 2023; Zhao et al., 2021)","plainCitation":"(Çakır &amp; Şahin, 2023; Zhao et al., 2021)","noteIndex":0},"citationItems":[{"id":6057,"uris":["http://zotero.org/users/8674049/items/IBQIBVG6"],"itemData":{"id":6057,"type":"article-journal","container-title":"BMC Oral Health","issue":"1","note":"ISBN: 1472-6831\npublisher: Springer","page":"565","title":"Evaluation of the impact of fluoride in drinking water and tea on the enamel of deciduous and permanent teeth","volume":"23","author":[{"family":"Çakır","given":"Asu"},{"family":"Şahin","given":"Tuğçe Nur"}],"issued":{"date-parts":[["2023"]]}}},{"id":6056,"uris":["http://zotero.org/users/8674049/items/YZ9L8AR4"],"itemData":{"id":6056,"type":"article-journal","container-title":"BMC geriatrics","note":"publisher: Springer","page":"1-16","title":"Associations of dietary and drinking water habits with number of natural teeth: a longitudinal study in the Chinese elderly population","volume":"21","author":[{"family":"Zhao","given":"Dan"},{"family":"Ning","given":"Jia"},{"family":"Zhao","given":"Yifei"},{"family":"Lu","given":"Eryi"}],"issued":{"date-parts":[["2021"]]}}}],"schema":"https://github.com/citation-style-language/schema/raw/master/csl-citation.json"} </w:instrText>
      </w:r>
      <w:r w:rsidRPr="008500C5">
        <w:fldChar w:fldCharType="separate"/>
      </w:r>
      <w:r w:rsidRPr="008500C5">
        <w:rPr>
          <w:rFonts w:ascii="Calibri" w:hAnsi="Calibri" w:cs="Calibri"/>
          <w:szCs w:val="24"/>
        </w:rPr>
        <w:t>(Çakır &amp; Şahin, 2023; Zhao et al., 2021)</w:t>
      </w:r>
      <w:r w:rsidRPr="008500C5">
        <w:fldChar w:fldCharType="end"/>
      </w:r>
    </w:p>
    <w:p w14:paraId="1E763584" w14:textId="77777777" w:rsidR="001209B5" w:rsidRPr="008500C5" w:rsidRDefault="001209B5" w:rsidP="001209B5">
      <w:pPr>
        <w:numPr>
          <w:ilvl w:val="0"/>
          <w:numId w:val="1"/>
        </w:numPr>
        <w:jc w:val="both"/>
      </w:pPr>
      <w:r w:rsidRPr="008500C5">
        <w:rPr>
          <w:b/>
          <w:bCs/>
        </w:rPr>
        <w:t>Kognitivní funkce</w:t>
      </w:r>
      <w:r w:rsidRPr="008500C5">
        <w:t>: I mírná dehydratace mů</w:t>
      </w:r>
      <w:r w:rsidR="00BD7BA3" w:rsidRPr="008500C5">
        <w:t>že ovlivnit koncentraci, paměť,</w:t>
      </w:r>
      <w:r w:rsidRPr="008500C5">
        <w:t xml:space="preserve"> celkovou mentální výkonnost</w:t>
      </w:r>
      <w:r w:rsidR="00BD7BA3" w:rsidRPr="008500C5">
        <w:t xml:space="preserve"> a může mít i negativní vliv na náladu a míru podrážděnosti. </w:t>
      </w:r>
      <w:r w:rsidRPr="008500C5">
        <w:t xml:space="preserve"> </w:t>
      </w:r>
      <w:r w:rsidRPr="008500C5">
        <w:fldChar w:fldCharType="begin"/>
      </w:r>
      <w:r w:rsidR="00C92A6A" w:rsidRPr="008500C5">
        <w:instrText xml:space="preserve"> ADDIN ZOTERO_ITEM CSL_CITATION {"citationID":"tqx9Dkff","properties":{"formattedCitation":"(Ganio et al., 2011; Li et al., 2023)","plainCitation":"(Ganio et al., 2011; Li et al., 2023)","noteIndex":0},"citationItems":[{"id":6059,"uris":["http://zotero.org/users/8674049/items/Q5P92TXT"],"itemData":{"id":6059,"type":"article-journal","abstract":"The present study assessed the effects of mild dehydration on cognitive performance and mood of young males. A total of twenty-six men (age 20·0 (\n              sd\n              0·3) years) participated in three randomised, single-blind, repeated-measures trials: exercise-induced dehydration plus a diuretic (DD; 40 mg furosemide); exercise-induced dehydration plus placebo containing no diuretic (DN); exercise while maintaining euhydration plus placebo (EU; control condition). Each trial included three 40 min treadmill walks at 5·6 km/h, 5 % grade in a 27·7°C environment. A comprehensive computerised six-task cognitive test battery, the profile of mood states questionnaire and the symptom questionnaire (headache, concentration and task difficulty) were administered during each trial. Paired\n              t\n              tests compared the DD and DN trials resulting in &gt;1 % body mass loss (mean 1·59 (\n              sd\n              0·42) %) with the volunteer's EU trial (0·01 (\n              sd\n              0·03) %). Dehydration degraded specific aspects of cognitive performance: errors increased on visual vigilance (\n              P\n               = 0·048) and visual working memory response latency slowed (\n              P\n               = 0·021). Fatigue and tension/anxiety increased due to dehydration at rest (\n              P\n               = 0·040 and 0·029) and fatigue during exercise (\n              P\n               = 0·026). Plasma osmolality increased due to dehydration (\n              P\n               &lt; 0·001) but resting gastrointestinal temperature was not altered (\n              P\n               = 0·238). In conclusion, mild dehydration without hyperthermia in men induced adverse changes in vigilance and working memory, and increased tension/anxiety and fatigue.","container-title":"British Journal of Nutrition","DOI":"10.1017/S0007114511002005","ISSN":"0007-1145, 1475-2662","issue":"10","journalAbbreviation":"Br J Nutr","language":"en","license":"https://www.cambridge.org/core/terms","page":"1535-1543","source":"DOI.org (Crossref)","title":"Mild dehydration impairs cognitive performance and mood of men","volume":"106","author":[{"family":"Ganio","given":"Matthew S."},{"family":"Armstrong","given":"Lawrence E."},{"family":"Casa","given":"Douglas J."},{"family":"McDermott","given":"Brendon P."},{"family":"Lee","given":"Elaine C."},{"family":"Yamamoto","given":"Linda M."},{"family":"Marzano","given":"Stefania"},{"family":"Lopez","given":"Rebecca M."},{"family":"Jimenez","given":"Liliana"},{"family":"Le Bellego","given":"Laurent"},{"family":"Chevillotte","given":"Emmanuel"},{"family":"Lieberman","given":"Harris R."}],"issued":{"date-parts":[["2011",11,28]]}}},{"id":6052,"uris":["http://zotero.org/users/8674049/items/7DZFY86T"],"itemData":{"id":6052,"type":"article-journal","container-title":"Nutrients","issue":"11","note":"ISBN: 2072-6643\npublisher: MDPI","page":"2609","title":"Hydration status in older adults: current knowledge and future challenges","volume":"15","author":[{"family":"Li","given":"Shizhen"},{"family":"Xiao","given":"Xun"},{"family":"Zhang","given":"Xiangyu"}],"issued":{"date-parts":[["2023"]]}}}],"schema":"https://github.com/citation-style-language/schema/raw/master/csl-citation.json"} </w:instrText>
      </w:r>
      <w:r w:rsidRPr="008500C5">
        <w:fldChar w:fldCharType="separate"/>
      </w:r>
      <w:r w:rsidR="00C92A6A" w:rsidRPr="008500C5">
        <w:rPr>
          <w:rFonts w:ascii="Calibri" w:hAnsi="Calibri" w:cs="Calibri"/>
        </w:rPr>
        <w:t>(Ganio et al., 2011; Li et al., 2023)</w:t>
      </w:r>
      <w:r w:rsidRPr="008500C5">
        <w:fldChar w:fldCharType="end"/>
      </w:r>
      <w:r w:rsidRPr="008500C5">
        <w:t>.</w:t>
      </w:r>
    </w:p>
    <w:p w14:paraId="62F38EA4" w14:textId="206F604A" w:rsidR="007A7F26" w:rsidRPr="005F36AF" w:rsidRDefault="007A7F26" w:rsidP="007A7F26">
      <w:pPr>
        <w:pStyle w:val="Odstavecseseznamem"/>
        <w:numPr>
          <w:ilvl w:val="0"/>
          <w:numId w:val="1"/>
        </w:numPr>
        <w:jc w:val="both"/>
        <w:rPr>
          <w:rFonts w:ascii="Times New Roman" w:eastAsia="Times New Roman" w:hAnsi="Times New Roman" w:cs="Times New Roman"/>
          <w:lang w:eastAsia="cs-CZ"/>
        </w:rPr>
      </w:pPr>
      <w:r>
        <w:rPr>
          <w:rFonts w:eastAsia="Times New Roman" w:cstheme="minorHAnsi"/>
          <w:b/>
          <w:lang w:eastAsia="cs-CZ"/>
        </w:rPr>
        <w:t xml:space="preserve">Imunitní systém: </w:t>
      </w:r>
      <w:r>
        <w:rPr>
          <w:rFonts w:eastAsia="Times New Roman" w:cstheme="minorHAnsi"/>
          <w:lang w:eastAsia="cs-CZ"/>
        </w:rPr>
        <w:t xml:space="preserve">Voda je nezbytná pro správnou funkci imunitního systému. Podporuje cirkulaci lymfy a udržuje vlhkost sliznic. Dostatečná hydratace také pomáhá ledvinám a játrům odstraňovat toxiny. Příjem vody hraje klíčovou roli v pohybu imunitních buněk, které poté mohou rychle reagovat na infekce. Dostatečná hydratace je tedy jednoduchým, ale zásadním způsobem, jak podpořit přirozenou obranyschopnost těla </w:t>
      </w:r>
      <w:r>
        <w:rPr>
          <w:rFonts w:eastAsia="Times New Roman" w:cstheme="minorHAnsi"/>
          <w:lang w:eastAsia="cs-CZ"/>
        </w:rPr>
        <w:fldChar w:fldCharType="begin"/>
      </w:r>
      <w:r>
        <w:rPr>
          <w:rFonts w:eastAsia="Times New Roman" w:cstheme="minorHAnsi"/>
          <w:lang w:eastAsia="cs-CZ"/>
        </w:rPr>
        <w:instrText xml:space="preserve"> ADDIN ZOTERO_ITEM CSL_CITATION {"citationID":"wT2g5M9g","properties":{"formattedCitation":"(Sato et al., 2024; Vora et al., 2024)","plainCitation":"(Sato et al., 2024; Vora et al., 2024)","noteIndex":0},"citationItems":[{"id":6072,"uris":["http://zotero.org/users/8674049/items/I564Z8MP"],"itemData":{"id":6072,"type":"article-journal","container-title":"Iscience","issue":"6","note":"ISBN: 2589-0042\npublisher: Elsevier","title":"Sufficient water intake maintains the gut microbiota and immune homeostasis and promotes pathogen elimination","volume":"27","author":[{"family":"Sato","given":"Kensuke"},{"family":"Hara-Chikuma","given":"Mariko"},{"family":"Yasui","given":"Masato"},{"family":"Inoue","given":"Joe"},{"family":"Kim","given":"Yun-Gi"}],"issued":{"date-parts":[["2024"]]}}},{"id":6073,"uris":["http://zotero.org/users/8674049/items/ZPSM84UK"],"itemData":{"id":6073,"type":"article-journal","container-title":"The Journal of the Association of Physicians of India","issue":"6S","note":"ISBN: 0004-5772","page":"25-29","title":"Connecting the Dots: Hydration, Micronutrients, and Immunity.","volume":"72","author":[{"family":"Vora","given":"Agam"},{"family":"Kalra","given":"Sanjay"},{"family":"Thakor","given":"Priti"},{"family":"Malve","given":"Harshad"},{"family":"Chamle","given":"Vijay"},{"family":"Patil","given":"Amol"}],"issued":{"date-parts":[["2024"]]}}}],"schema":"https://github.com/citation-style-language/schema/raw/master/csl-citation.json"} </w:instrText>
      </w:r>
      <w:r>
        <w:rPr>
          <w:rFonts w:eastAsia="Times New Roman" w:cstheme="minorHAnsi"/>
          <w:lang w:eastAsia="cs-CZ"/>
        </w:rPr>
        <w:fldChar w:fldCharType="separate"/>
      </w:r>
      <w:r w:rsidRPr="007A7F26">
        <w:rPr>
          <w:rFonts w:ascii="Calibri" w:hAnsi="Calibri" w:cs="Calibri"/>
        </w:rPr>
        <w:t>(Sato et al., 2024; Vora et al., 2024)</w:t>
      </w:r>
      <w:r>
        <w:rPr>
          <w:rFonts w:eastAsia="Times New Roman" w:cstheme="minorHAnsi"/>
          <w:lang w:eastAsia="cs-CZ"/>
        </w:rPr>
        <w:fldChar w:fldCharType="end"/>
      </w:r>
      <w:r>
        <w:rPr>
          <w:rFonts w:eastAsia="Times New Roman" w:cstheme="minorHAnsi"/>
          <w:lang w:eastAsia="cs-CZ"/>
        </w:rPr>
        <w:t xml:space="preserve">. </w:t>
      </w:r>
    </w:p>
    <w:p w14:paraId="07C863D6" w14:textId="77777777" w:rsidR="00BD7BA3" w:rsidRPr="008B50D6" w:rsidRDefault="00BD7BA3" w:rsidP="00BD7BA3">
      <w:pPr>
        <w:pStyle w:val="Odstavecseseznamem"/>
        <w:spacing w:after="0" w:line="240" w:lineRule="auto"/>
        <w:rPr>
          <w:rFonts w:ascii="Times New Roman" w:eastAsia="Times New Roman" w:hAnsi="Times New Roman" w:cs="Times New Roman"/>
          <w:color w:val="70AD47" w:themeColor="accent6"/>
          <w:sz w:val="24"/>
          <w:szCs w:val="24"/>
          <w:lang w:eastAsia="cs-CZ"/>
        </w:rPr>
      </w:pPr>
    </w:p>
    <w:p w14:paraId="2DAAC7C2" w14:textId="2C23FF4E" w:rsidR="004F03B7" w:rsidRDefault="004D7A01" w:rsidP="0009054F">
      <w:pPr>
        <w:jc w:val="both"/>
      </w:pPr>
      <w:r>
        <w:lastRenderedPageBreak/>
        <w:t>Dehydratace, i pouze</w:t>
      </w:r>
      <w:r w:rsidR="00E16910" w:rsidRPr="007C0AE9">
        <w:t xml:space="preserve"> částečná, může mít vážné zdravotní důsledky.</w:t>
      </w:r>
      <w:r w:rsidR="00E16910">
        <w:t xml:space="preserve"> </w:t>
      </w:r>
      <w:r w:rsidR="00E16910" w:rsidRPr="00DA42B4">
        <w:t>Extrémní dehydratace je velmi závažná a může být smrtelná</w:t>
      </w:r>
      <w:r w:rsidR="00E16910">
        <w:t xml:space="preserve"> </w:t>
      </w:r>
      <w:r w:rsidR="00E16910">
        <w:fldChar w:fldCharType="begin"/>
      </w:r>
      <w:r w:rsidR="00E16910">
        <w:instrText xml:space="preserve"> ADDIN ZOTERO_ITEM CSL_CITATION {"citationID":"zN5rSNdy","properties":{"formattedCitation":"(Benelam &amp; Wyness, 2010)","plainCitation":"(Benelam &amp; Wyness, 2010)","noteIndex":0},"citationItems":[{"id":6053,"uris":["http://zotero.org/users/8674049/items/IQ6LBJSK"],"itemData":{"id":6053,"type":"article-journal","container-title":"Nutrition Bulletin","issue":"1","note":"ISBN: 1471-9827\npublisher: Wiley Online Library","page":"3-25","title":"Hydration and health: a review","volume":"35","author":[{"family":"Benelam","given":"B."},{"family":"Wyness","given":"L."}],"issued":{"date-parts":[["2010"]]}}}],"schema":"https://github.com/citation-style-language/schema/raw/master/csl-citation.json"} </w:instrText>
      </w:r>
      <w:r w:rsidR="00E16910">
        <w:fldChar w:fldCharType="separate"/>
      </w:r>
      <w:r w:rsidR="00E16910" w:rsidRPr="00E16910">
        <w:rPr>
          <w:rFonts w:ascii="Calibri" w:hAnsi="Calibri" w:cs="Calibri"/>
        </w:rPr>
        <w:t>(Benelam &amp; Wyness, 2010)</w:t>
      </w:r>
      <w:r w:rsidR="00E16910">
        <w:fldChar w:fldCharType="end"/>
      </w:r>
      <w:r w:rsidR="00E16910">
        <w:t>.</w:t>
      </w:r>
      <w:r w:rsidR="00E16910" w:rsidRPr="001209B5">
        <w:t xml:space="preserve"> </w:t>
      </w:r>
      <w:r w:rsidR="004F03B7" w:rsidRPr="004F03B7">
        <w:t xml:space="preserve">Starší dospělí jsou vůči dehydrataci náchylnější, zejména pokud trpí více chronickými nemocemi. </w:t>
      </w:r>
      <w:r w:rsidR="00EF7865">
        <w:t>D</w:t>
      </w:r>
      <w:r w:rsidR="00EF7865" w:rsidRPr="00EF7865">
        <w:t xml:space="preserve">ehydratace může u seniorů </w:t>
      </w:r>
      <w:r w:rsidR="00EF7865">
        <w:t xml:space="preserve">zásadně </w:t>
      </w:r>
      <w:r w:rsidR="00EF7865" w:rsidRPr="00EF7865">
        <w:t>zhoršit jejich kognitivní funkce a vést k</w:t>
      </w:r>
      <w:r w:rsidR="00EF7865">
        <w:t xml:space="preserve"> projevům </w:t>
      </w:r>
      <w:r w:rsidR="00EF7865" w:rsidRPr="00EF7865">
        <w:t xml:space="preserve">symptomů, které mohou být podobné příznakům demence. </w:t>
      </w:r>
      <w:r w:rsidR="004F03B7" w:rsidRPr="004F03B7">
        <w:t>Dehydratace u této skupiny může mít vliv na délku hospitalizace, riziko opětovného přijetí do nemocnice, potřebu intenzivní péče, zvýšenou nemocniční úmrtnost a</w:t>
      </w:r>
      <w:r>
        <w:t> </w:t>
      </w:r>
      <w:r w:rsidR="004F03B7" w:rsidRPr="004F03B7">
        <w:t>celkově špatnou prognózu. Tento problém představuje významn</w:t>
      </w:r>
      <w:r w:rsidR="004F03B7">
        <w:t xml:space="preserve">ou ekonomickou a sociální zátěž </w:t>
      </w:r>
      <w:r w:rsidR="004F03B7">
        <w:fldChar w:fldCharType="begin"/>
      </w:r>
      <w:r w:rsidR="004F03B7">
        <w:instrText xml:space="preserve"> ADDIN ZOTERO_ITEM CSL_CITATION {"citationID":"bQS3dkpW","properties":{"formattedCitation":"(Li et al., 2023)","plainCitation":"(Li et al., 2023)","noteIndex":0},"citationItems":[{"id":6052,"uris":["http://zotero.org/users/8674049/items/7DZFY86T"],"itemData":{"id":6052,"type":"article-journal","container-title":"Nutrients","issue":"11","note":"ISBN: 2072-6643\npublisher: MDPI","page":"2609","title":"Hydration status in older adults: current knowledge and future challenges","volume":"15","author":[{"family":"Li","given":"Shizhen"},{"family":"Xiao","given":"Xun"},{"family":"Zhang","given":"Xiangyu"}],"issued":{"date-parts":[["2023"]]}}}],"schema":"https://github.com/citation-style-language/schema/raw/master/csl-citation.json"} </w:instrText>
      </w:r>
      <w:r w:rsidR="004F03B7">
        <w:fldChar w:fldCharType="separate"/>
      </w:r>
      <w:r w:rsidR="004F03B7" w:rsidRPr="004F03B7">
        <w:rPr>
          <w:rFonts w:ascii="Calibri" w:hAnsi="Calibri" w:cs="Calibri"/>
        </w:rPr>
        <w:t>(Li et al., 2023)</w:t>
      </w:r>
      <w:r w:rsidR="004F03B7">
        <w:fldChar w:fldCharType="end"/>
      </w:r>
      <w:r w:rsidR="004F03B7">
        <w:t>.</w:t>
      </w:r>
    </w:p>
    <w:p w14:paraId="2DE3EFD5" w14:textId="2A046227" w:rsidR="008B008F" w:rsidRDefault="00F42096" w:rsidP="0009054F">
      <w:pPr>
        <w:jc w:val="both"/>
      </w:pPr>
      <w:r>
        <w:t>Pro</w:t>
      </w:r>
      <w:r w:rsidR="00132EF6">
        <w:t xml:space="preserve"> prevenci dehydratace je třeba dodržovat správný pitný režim. </w:t>
      </w:r>
      <w:r>
        <w:t>Často</w:t>
      </w:r>
      <w:r w:rsidR="0009054F" w:rsidRPr="0009054F">
        <w:t xml:space="preserve"> se doporučuje vypít denně</w:t>
      </w:r>
      <w:r w:rsidR="00D27385">
        <w:br/>
      </w:r>
      <w:r w:rsidR="0009054F" w:rsidRPr="0009054F">
        <w:t xml:space="preserve">2–4 litry vody, což </w:t>
      </w:r>
      <w:r>
        <w:t>může být pro</w:t>
      </w:r>
      <w:r w:rsidR="0009054F" w:rsidRPr="0009054F">
        <w:t xml:space="preserve"> </w:t>
      </w:r>
      <w:r w:rsidR="000D6195">
        <w:t>některé lidi</w:t>
      </w:r>
      <w:r w:rsidR="0009054F" w:rsidRPr="0009054F">
        <w:t xml:space="preserve"> </w:t>
      </w:r>
      <w:r>
        <w:t>nadměrné</w:t>
      </w:r>
      <w:r w:rsidR="0009054F" w:rsidRPr="0009054F">
        <w:t xml:space="preserve"> a platí spíše v extrémních podmínkách, jako jsou horké dny nebo intenzivní fyzická zátěž. </w:t>
      </w:r>
      <w:r>
        <w:t xml:space="preserve">Doporučuje se pravidelně pít </w:t>
      </w:r>
      <w:r w:rsidRPr="00ED731C">
        <w:t>rovnoměrně během dne</w:t>
      </w:r>
      <w:r>
        <w:t>, i</w:t>
      </w:r>
      <w:r w:rsidR="00ED05F6">
        <w:t> </w:t>
      </w:r>
      <w:r>
        <w:t>v</w:t>
      </w:r>
      <w:r w:rsidR="00ED05F6">
        <w:t> </w:t>
      </w:r>
      <w:r>
        <w:t xml:space="preserve">případě, že člověk nemá pocit žízně, přičemž ideální volbou je čistá voda. </w:t>
      </w:r>
      <w:r w:rsidR="00ED731C">
        <w:t>Kofeinové nápoje</w:t>
      </w:r>
      <w:r w:rsidR="008B008F">
        <w:t xml:space="preserve"> a</w:t>
      </w:r>
      <w:r w:rsidR="00ED731C">
        <w:t xml:space="preserve"> alkohol se do příjmu tekutin nezapočítávají, neboť </w:t>
      </w:r>
      <w:r w:rsidR="008B008F">
        <w:t>alkohol má na organismus</w:t>
      </w:r>
      <w:r w:rsidR="00ED731C">
        <w:t xml:space="preserve"> diuretické účinky </w:t>
      </w:r>
      <w:r w:rsidR="008B008F">
        <w:t>(tedy organismus odvodňuje</w:t>
      </w:r>
      <w:r w:rsidR="00ED731C">
        <w:t>)</w:t>
      </w:r>
      <w:r w:rsidR="00BD551D">
        <w:t xml:space="preserve"> </w:t>
      </w:r>
      <w:r w:rsidR="00BD551D">
        <w:fldChar w:fldCharType="begin"/>
      </w:r>
      <w:r w:rsidR="00BD551D">
        <w:instrText xml:space="preserve"> ADDIN ZOTERO_ITEM CSL_CITATION {"citationID":"8FAeAdsN","properties":{"formattedCitation":"(Mackus et al., 2024)","plainCitation":"(Mackus et al., 2024)","noteIndex":0},"citationItems":[{"id":6070,"uris":["http://zotero.org/users/8674049/items/FXNAW7Y6"],"itemData":{"id":6070,"type":"article-journal","container-title":"Alcohol","note":"ISBN: 0741-8329\npublisher: Elsevier","title":"Alcohol hangover versus dehydration revisited: the effect of drinking water to prevent or alleviate the alcohol hangover","author":[{"family":"Mackus","given":"Marlou"},{"family":"Stock","given":"Ann-Kathrin"},{"family":"Garssen","given":"Johan"},{"family":"Scholey","given":"Andrew"},{"family":"Verster","given":"Joris C."}],"issued":{"date-parts":[["2024"]]}}}],"schema":"https://github.com/citation-style-language/schema/raw/master/csl-citation.json"} </w:instrText>
      </w:r>
      <w:r w:rsidR="00BD551D">
        <w:fldChar w:fldCharType="separate"/>
      </w:r>
      <w:r w:rsidR="00BD551D" w:rsidRPr="00BD551D">
        <w:rPr>
          <w:rFonts w:ascii="Calibri" w:hAnsi="Calibri" w:cs="Calibri"/>
        </w:rPr>
        <w:t>(Mackus et al., 2024)</w:t>
      </w:r>
      <w:r w:rsidR="00BD551D">
        <w:fldChar w:fldCharType="end"/>
      </w:r>
      <w:r w:rsidR="008B008F">
        <w:t>. U kofeinu n</w:t>
      </w:r>
      <w:r w:rsidR="008B008F" w:rsidRPr="008B008F">
        <w:t>ěkteré studie ukaz</w:t>
      </w:r>
      <w:r w:rsidR="008B008F">
        <w:t xml:space="preserve">ují, </w:t>
      </w:r>
      <w:r w:rsidR="008B008F" w:rsidRPr="008B008F">
        <w:t>že pravidelná konzumace kofe</w:t>
      </w:r>
      <w:r w:rsidR="008B008F">
        <w:t xml:space="preserve">inu může zhoršit stav hydratace, ačkoli dle jiných toto tvrzení neplatí </w:t>
      </w:r>
      <w:r w:rsidR="008B008F">
        <w:fldChar w:fldCharType="begin"/>
      </w:r>
      <w:r w:rsidR="008B008F">
        <w:instrText xml:space="preserve"> ADDIN ZOTERO_ITEM CSL_CITATION {"citationID":"TLpYOHhH","properties":{"formattedCitation":"(Rosemiarti &amp; Basrowi, 2023)","plainCitation":"(Rosemiarti &amp; Basrowi, 2023)","noteIndex":0},"citationItems":[{"id":6071,"uris":["http://zotero.org/users/8674049/items/QGMDZCRX"],"itemData":{"id":6071,"type":"article-journal","container-title":"The Indonesian Journal of Community and Occupational Medicine","issue":"2","note":"ISBN: 2798-723X","page":"113-22","title":"Caffeine Intake and its Effect on Hydration Status Among Workers: A Literature Review","volume":"3","author":[{"family":"Rosemiarti","given":"Tria"},{"family":"Basrowi","given":"Ray W."}],"issued":{"date-parts":[["2023"]]}}}],"schema":"https://github.com/citation-style-language/schema/raw/master/csl-citation.json"} </w:instrText>
      </w:r>
      <w:r w:rsidR="008B008F">
        <w:fldChar w:fldCharType="separate"/>
      </w:r>
      <w:r w:rsidR="008B008F" w:rsidRPr="008B008F">
        <w:rPr>
          <w:rFonts w:ascii="Calibri" w:hAnsi="Calibri" w:cs="Calibri"/>
        </w:rPr>
        <w:t>(Rosemiarti &amp; Basrowi, 2023)</w:t>
      </w:r>
      <w:r w:rsidR="008B008F">
        <w:fldChar w:fldCharType="end"/>
      </w:r>
      <w:r w:rsidR="008B008F">
        <w:t>.</w:t>
      </w:r>
    </w:p>
    <w:p w14:paraId="5E14A917" w14:textId="38A42C42" w:rsidR="0009054F" w:rsidRPr="0009054F" w:rsidRDefault="0009054F" w:rsidP="0009054F">
      <w:pPr>
        <w:jc w:val="both"/>
      </w:pPr>
      <w:r w:rsidRPr="0009054F">
        <w:t>Potřeba tekutin je individuální a závisí na mnoha faktorech, jako jsou tělesná hmotnost, věk, pohlaví, složení a množství stravy, fyzická aktivita, teplota a vlhkost prostředí, typ oblečení, zdravotní stav a</w:t>
      </w:r>
      <w:r w:rsidR="00A524B6">
        <w:t> </w:t>
      </w:r>
      <w:r w:rsidRPr="0009054F">
        <w:t>celkový stav zavodnění organismu. Každý člověk má optimální potřebu tekutin, která se může v</w:t>
      </w:r>
      <w:r w:rsidR="00A524B6">
        <w:t> </w:t>
      </w:r>
      <w:r w:rsidRPr="0009054F">
        <w:t xml:space="preserve">průběhu času měnit. Tato potřeba se může pohybovat od méně než jednoho litru denně (u sedavého člověka s nízkým příjmem soli a bílkovin) až po několik litrů (u lidí s vysokým příjmem soli a cukru, fyzickou zátěží nebo pobytem v horkém prostředí). U některých může být denní potřeba i 5 litrů. Každý by měl hledat a přizpůsobit </w:t>
      </w:r>
      <w:r w:rsidR="00222D83">
        <w:t xml:space="preserve">svou optimální spotřebu tekutin  </w:t>
      </w:r>
      <w:r w:rsidR="00222D83">
        <w:fldChar w:fldCharType="begin"/>
      </w:r>
      <w:r w:rsidR="00222D83">
        <w:instrText xml:space="preserve"> ADDIN ZOTERO_ITEM CSL_CITATION {"citationID":"ZFjRg25W","properties":{"formattedCitation":"(Ko\\uc0\\u382{}\\uc0\\u237{}\\uc0\\u353{}ek, 2025)","plainCitation":"(Kožíšek, 2025)","noteIndex":0},"citationItems":[{"id":6068,"uris":["http://zotero.org/users/8674049/items/2LK3FSL3"],"itemData":{"id":6068,"type":"post-weblog","abstract":"Aktualizovaná verze brožury o pitném režimu “Voda jako základ zdraví. Zásady pitného režimu”, která obsahuje též kapitolu “Jak se vyznat v balených vodách.","container-title":"SZÚ | Oficiální web Státního zdravotního ústavu v Praze","language":"cs-cz","title":"Voda jako základ zdraví. Zásady pitného režimu","URL":"https://szu.gov.cz/temata-zdravi-a-bezpecnosti/zivotni-prostredi/kvalita-vody/balena-voda/voda-jako-zaklad-zdravi-zasady-pitneho-rezimu/","author":[{"family":"Kožíšek","given":"František"}],"accessed":{"date-parts":[["2025",3,5]]},"issued":{"date-parts":[["2025"]]}}}],"schema":"https://github.com/citation-style-language/schema/raw/master/csl-citation.json"} </w:instrText>
      </w:r>
      <w:r w:rsidR="00222D83">
        <w:fldChar w:fldCharType="separate"/>
      </w:r>
      <w:r w:rsidR="00222D83" w:rsidRPr="00222D83">
        <w:rPr>
          <w:rFonts w:ascii="Calibri" w:hAnsi="Calibri" w:cs="Calibri"/>
          <w:szCs w:val="24"/>
        </w:rPr>
        <w:t>(Kožíšek, 2025)</w:t>
      </w:r>
      <w:r w:rsidR="00222D83">
        <w:fldChar w:fldCharType="end"/>
      </w:r>
      <w:r w:rsidR="00222D83">
        <w:t>.</w:t>
      </w:r>
    </w:p>
    <w:p w14:paraId="14FA3229" w14:textId="4DCC3D6A" w:rsidR="0009054F" w:rsidRPr="0009054F" w:rsidRDefault="0009054F" w:rsidP="0009054F">
      <w:pPr>
        <w:jc w:val="both"/>
      </w:pPr>
      <w:r w:rsidRPr="0009054F">
        <w:t>Pocit žízně</w:t>
      </w:r>
      <w:r w:rsidR="008B008F">
        <w:t xml:space="preserve">, tedy </w:t>
      </w:r>
      <w:r w:rsidR="008B008F" w:rsidRPr="00ED731C">
        <w:t>přirozený signál těla, který nám připomíná potřebu tekutin</w:t>
      </w:r>
      <w:r w:rsidR="008B008F">
        <w:t>,</w:t>
      </w:r>
      <w:r w:rsidR="008B008F" w:rsidRPr="0009054F">
        <w:t xml:space="preserve"> </w:t>
      </w:r>
      <w:r w:rsidR="00A810E0">
        <w:t xml:space="preserve">však </w:t>
      </w:r>
      <w:r w:rsidRPr="0009054F">
        <w:t>není prvním ukazatelem potřeby vody, protože se objevuje až při ztrátě tekutin kolem 1–2 % tělesné hmotnosti. Tento pocit se navíc s věkem snižuje. Zároveň může být zvýšený pocit žízně příznakem některých onemocnění, jako je cukrovka, nebo tzv. návykové žízně, která ne vždy znamená skutečnou potřebu vody.</w:t>
      </w:r>
      <w:r w:rsidR="00222D83">
        <w:t xml:space="preserve"> </w:t>
      </w:r>
      <w:r w:rsidRPr="0009054F">
        <w:t>Vyšší riziko dehydratace mají malé děti, které mají menší objem tělesné vody a jejich ztráty jsou v porovnání s</w:t>
      </w:r>
      <w:r w:rsidR="00A810E0">
        <w:t> </w:t>
      </w:r>
      <w:r w:rsidRPr="0009054F">
        <w:t>celkovým objemem významné. Stejně tak u starších lidí, u nichž s věkem klesá objem tělesné vody a</w:t>
      </w:r>
      <w:r w:rsidR="00A810E0">
        <w:t> </w:t>
      </w:r>
      <w:r w:rsidRPr="0009054F">
        <w:t>zhoršuje se schopnost ledvin absorbovat vodu. U starších lidí je také oslabený pocit žízně, proto je třeba jejich příjem tekutin pečlivě sledovat</w:t>
      </w:r>
      <w:r>
        <w:t xml:space="preserve"> </w:t>
      </w:r>
      <w:r>
        <w:fldChar w:fldCharType="begin"/>
      </w:r>
      <w:r w:rsidR="00222D83">
        <w:instrText xml:space="preserve"> ADDIN ZOTERO_ITEM CSL_CITATION {"citationID":"z2niIIgL","properties":{"formattedCitation":"(Ko\\uc0\\u382{}\\uc0\\u237{}\\uc0\\u353{}ek, 2025)","plainCitation":"(Kožíšek, 2025)","noteIndex":0},"citationItems":[{"id":6068,"uris":["http://zotero.org/users/8674049/items/2LK3FSL3"],"itemData":{"id":6068,"type":"post-weblog","abstract":"Aktualizovaná verze brožury o pitném režimu “Voda jako základ zdraví. Zásady pitného režimu”, která obsahuje též kapitolu “Jak se vyznat v balených vodách.","container-title":"SZÚ | Oficiální web Státního zdravotního ústavu v Praze","language":"cs-cz","title":"Voda jako základ zdraví. Zásady pitného režimu","URL":"https://szu.gov.cz/temata-zdravi-a-bezpecnosti/zivotni-prostredi/kvalita-vody/balena-voda/voda-jako-zaklad-zdravi-zasady-pitneho-rezimu/","author":[{"family":"Kožíšek","given":"František"}],"accessed":{"date-parts":[["2025",3,5]]},"issued":{"date-parts":[["2025"]]}}}],"schema":"https://github.com/citation-style-language/schema/raw/master/csl-citation.json"} </w:instrText>
      </w:r>
      <w:r>
        <w:fldChar w:fldCharType="separate"/>
      </w:r>
      <w:r w:rsidR="00222D83" w:rsidRPr="00222D83">
        <w:rPr>
          <w:rFonts w:ascii="Calibri" w:hAnsi="Calibri" w:cs="Calibri"/>
          <w:szCs w:val="24"/>
        </w:rPr>
        <w:t>(Kožíšek, 2025)</w:t>
      </w:r>
      <w:r>
        <w:fldChar w:fldCharType="end"/>
      </w:r>
      <w:r w:rsidRPr="0009054F">
        <w:t>.</w:t>
      </w:r>
    </w:p>
    <w:p w14:paraId="73D5FBE9" w14:textId="77ED1917" w:rsidR="006A1BD5" w:rsidRDefault="006A1BD5" w:rsidP="0028296C">
      <w:pPr>
        <w:jc w:val="both"/>
      </w:pPr>
      <w:r>
        <w:t>P</w:t>
      </w:r>
      <w:r w:rsidR="00132EF6">
        <w:t xml:space="preserve">ro organismus </w:t>
      </w:r>
      <w:r>
        <w:t xml:space="preserve">není </w:t>
      </w:r>
      <w:r w:rsidR="00132EF6">
        <w:t xml:space="preserve">dobrá zátěž z důvodu dehydratace, </w:t>
      </w:r>
      <w:r>
        <w:t xml:space="preserve">ale je třeba konzumaci vody nepřehánět. Nadměrné pití vody může vést </w:t>
      </w:r>
      <w:r w:rsidRPr="006A1BD5">
        <w:t>k ředění koncentrace sodíku v krvi (takzvané "</w:t>
      </w:r>
      <w:proofErr w:type="spellStart"/>
      <w:r w:rsidRPr="006A1BD5">
        <w:t>hyponatrémii</w:t>
      </w:r>
      <w:proofErr w:type="spellEnd"/>
      <w:r w:rsidRPr="006A1BD5">
        <w:t>"</w:t>
      </w:r>
      <w:r>
        <w:t xml:space="preserve"> – intoxikaci vodou</w:t>
      </w:r>
      <w:r w:rsidR="00863D56" w:rsidRPr="00863D56">
        <w:t>, která vede k nebezpečnému snížení hladiny sodíku v krvi</w:t>
      </w:r>
      <w:r w:rsidR="00863D56">
        <w:t xml:space="preserve">). </w:t>
      </w:r>
      <w:r>
        <w:t xml:space="preserve">Nadměrné pití lze vysledovat například u sportovců </w:t>
      </w:r>
      <w:r>
        <w:fldChar w:fldCharType="begin"/>
      </w:r>
      <w:r>
        <w:instrText xml:space="preserve"> ADDIN ZOTERO_ITEM CSL_CITATION {"citationID":"wDMjREkh","properties":{"formattedCitation":"(Klingert et al., 2022)","plainCitation":"(Klingert et al., 2022)","noteIndex":0},"citationItems":[{"id":6067,"uris":["http://zotero.org/users/8674049/items/WPWQKGNG"],"itemData":{"id":6067,"type":"article-journal","container-title":"Journal of clinical medicine","issue":"22","note":"ISBN: 2077-0383\npublisher: MDPI","page":"6775","title":"Exercise-associated hyponatremia in marathon runners","volume":"11","author":[{"family":"Klingert","given":"Mark"},{"family":"Nikolaidis","given":"Pantelis T."},{"family":"Weiss","given":"Katja"},{"family":"Thuany","given":"Mabliny"},{"family":"Chlíbková","given":"Daniela"},{"family":"Knechtle","given":"Beat"}],"issued":{"date-parts":[["2022"]]}}}],"schema":"https://github.com/citation-style-language/schema/raw/master/csl-citation.json"} </w:instrText>
      </w:r>
      <w:r>
        <w:fldChar w:fldCharType="separate"/>
      </w:r>
      <w:r w:rsidRPr="006A1BD5">
        <w:rPr>
          <w:rFonts w:ascii="Calibri" w:hAnsi="Calibri" w:cs="Calibri"/>
        </w:rPr>
        <w:t>(Klingert et al., 2022)</w:t>
      </w:r>
      <w:r>
        <w:fldChar w:fldCharType="end"/>
      </w:r>
      <w:r>
        <w:t>, ale rovněž se může pojit s poruchami příjmu potravy nebo s některými psychickými onemocněními.</w:t>
      </w:r>
    </w:p>
    <w:p w14:paraId="074EB90B" w14:textId="10EBBECC" w:rsidR="00863D56" w:rsidRPr="00863D56" w:rsidRDefault="00863D56" w:rsidP="00863D56">
      <w:pPr>
        <w:jc w:val="both"/>
      </w:pPr>
      <w:r w:rsidRPr="00863D56">
        <w:t xml:space="preserve">Extrémní forma nadměrného příjmu vody se nazývá psychogenní polydipsie (laicky </w:t>
      </w:r>
      <w:proofErr w:type="spellStart"/>
      <w:r w:rsidRPr="00863D56">
        <w:t>aquaholismus</w:t>
      </w:r>
      <w:proofErr w:type="spellEnd"/>
      <w:r w:rsidRPr="00863D56">
        <w:t xml:space="preserve">) a je často spojená se schizofrenií, bipolární poruchou či silnými úzkostmi. Vede k nutkavému pití vody, což může způsobit již zmíněnou, život ohrožující </w:t>
      </w:r>
      <w:proofErr w:type="spellStart"/>
      <w:r w:rsidRPr="00863D56">
        <w:t>hyponatrémii</w:t>
      </w:r>
      <w:proofErr w:type="spellEnd"/>
      <w:r w:rsidRPr="00863D56">
        <w:t xml:space="preserve">. Na rozdíl od </w:t>
      </w:r>
      <w:proofErr w:type="spellStart"/>
      <w:r w:rsidRPr="00863D56">
        <w:t>wellness</w:t>
      </w:r>
      <w:proofErr w:type="spellEnd"/>
      <w:r w:rsidRPr="00863D56">
        <w:t xml:space="preserve"> trendů podporujících vysoký příjem vody je skutečná nadměrná kompulzivní hydratace spíše psychiatrickým příznakem než společenským fenoménem. Tento stav narušuje rovnováhu elektrolytů a může způsobit zmatenost, záchvaty, a může být v extrémní</w:t>
      </w:r>
      <w:r w:rsidR="007A7F26">
        <w:t>ch případech život ohrožující</w:t>
      </w:r>
      <w:r w:rsidRPr="00863D56">
        <w:t xml:space="preserve"> </w:t>
      </w:r>
      <w:r>
        <w:fldChar w:fldCharType="begin"/>
      </w:r>
      <w:r w:rsidR="007A7F26">
        <w:instrText xml:space="preserve"> ADDIN ZOTERO_ITEM CSL_CITATION {"citationID":"xnS85wZ1","properties":{"formattedCitation":"(Bhatia et al., 2017; Kotagiri &amp; Kutti Sridharan, 2025)","plainCitation":"(Bhatia et al., 2017; Kotagiri &amp; Kutti Sridharan, 2025)","noteIndex":0},"citationItems":[{"id":6074,"uris":["http://zotero.org/users/8674049/items/VNMPKC82"],"itemData":{"id":6074,"type":"article-journal","abstract":"Compulsive water drinking or psychogenic polydipsia is now increasingly seen in psychiatric populations. Effects of increased water intake can lead to hyponatremia causing symptoms of nausea, vomiting, seizures, delirium and can even be life threatening if not recognized and managed early. Here we present a 35-year old adult who was diagnosed with psychogenic polydipsia and was successfully managed with a combination of pharmacotherapy, fluid restriction and psychosocial management.","container-title":"Shanghai Archives of Psychiatry","DOI":"10.11919/j.issn.1002-0829.216106","ISSN":"1002-0829","issue":"3","journalAbbreviation":"Shanghai Arch Psychiatry","language":"eng","note":"PMID: 28904515\nPMCID: PMC5579464","page":"180-183","source":"PubMed","title":"Psychogenic Polydipsia - Management Challenges","volume":"29","author":[{"family":"Bhatia","given":"M. S."},{"family":"Goyal","given":"Aparna"},{"family":"Saha","given":"Rashmita"},{"family":"Doval","given":"Nimisha"}],"issued":{"date-parts":[["2017",6,25]]}}},{"id":6076,"uris":["http://zotero.org/users/8674049/items/GCTSVPH9"],"itemData":{"id":6076,"type":"chapter","abstract":"Primary polydipsia (PP) is a condition where there is excess consumption of fluids leading to polyuria with diluted urine and, ultimately, hyponatremia. Polyuria can be defined as urine production greater than 40-50 ml/kg in a twenty-four-hour period. Primary polydipsia can be categorized into two types. 1) Psychogenic polydipsia and 2) Dipsogenic polydipsia. As the name suggests, psychogenic polydipsia is seen in patients with psychiatric disorders. Dipsogenic polydipsia, also called compulsory water drinking, is seen mostly in people who consciously drink large quantities of water to maintain a healthy lifestyle or in those whose hypothalamus is affected. Compulsory water drinking is perceived to improve, maintain good health, and is on the rise of late given the popularity of lifestyle programs.  This article will discuss the etiology, pathophysiology, diagnosis, and potential treatment options available for psychogenic polydipsia and dipsogenic polydipsia. Another entity to remember is beer potomania, which does not quite fit the definition of polyuria but can present with hyponatremia. This is from acute or chronic alcoholism with excessive beer drinking in patients who are typically malnourished, resulting from low solute intake/high carbohydrate intake. Psychogenic polydipsia is seen in many psychiatric conditions but is more commonly seen in schizophrenic patients. The exact mechanism is unknown, but various hypotheses have been put forward. Hyponatremia is a severe complication of primary polydipsia.  The main differential diagnosis for primary polydipsia is diabetes insipidus (DI). The diagnostic method that has been used for a long time is the indirect water deprivation test (WDT), which is an indirect measurement of the arginine vasopressin (AVP) activity, combined with the administration of desmopressin. This test differentiates primary polydipsia from diabetes insipidus and also helps differentiate central from nephrogenic diabetes insipidus. However, this traditional test is not without flaws. Various new methods have been recently proposed and are being considered as the latest diagnostic standard for the diagnoses mentioned above. These tests include copeptin measurement at baseline and after hypertonic saline infusion, the other method being the measurement of copeptin at baseline and after arginine infusion. Regarding the treatment of this condition, there is not one particular proven strategy. The recommended treatment is to control the water intake, but this poses a compliance problem, especially in patients with psychogenic polydipsia with compulsive behavior. Changes in medications that have anticholinergic side effects can be tried. Various classes of drugs have been studied, and none is effective. Behavioral treatment trials showed mixed results. Coordination and inter-professional approach can help treat the patients better.","call-number":"NBK562251","container-title":"StatPearls","event-place":"Treasure Island (FL)","language":"eng","license":"Copyright © 2025, StatPearls Publishing LLC.","note":"PMID: 32965922","publisher":"StatPearls Publishing","publisher-place":"Treasure Island (FL)","source":"PubMed","title":"Primary Polydipsia","URL":"http://www.ncbi.nlm.nih.gov/books/NBK562251/","author":[{"family":"Kotagiri","given":"Rajesh"},{"family":"Kutti Sridharan","given":"Gurusaravanan"}],"accessed":{"date-parts":[["2025",3,5]]},"issued":{"date-parts":[["2025"]]}}}],"schema":"https://github.com/citation-style-language/schema/raw/master/csl-citation.json"} </w:instrText>
      </w:r>
      <w:r>
        <w:fldChar w:fldCharType="separate"/>
      </w:r>
      <w:r w:rsidR="007A7F26" w:rsidRPr="007A7F26">
        <w:rPr>
          <w:rFonts w:ascii="Calibri" w:hAnsi="Calibri" w:cs="Calibri"/>
        </w:rPr>
        <w:t>(Bhatia et al., 2017; Kotagiri &amp; Kutti Sridharan, 2025)</w:t>
      </w:r>
      <w:r>
        <w:fldChar w:fldCharType="end"/>
      </w:r>
      <w:r w:rsidR="007A7F26">
        <w:t>.</w:t>
      </w:r>
    </w:p>
    <w:p w14:paraId="721D7E0F" w14:textId="77777777" w:rsidR="00863D56" w:rsidRPr="00ED05F6" w:rsidRDefault="00863D56" w:rsidP="00863D56">
      <w:pPr>
        <w:jc w:val="both"/>
        <w:rPr>
          <w:b/>
        </w:rPr>
      </w:pPr>
      <w:r w:rsidRPr="00ED05F6">
        <w:rPr>
          <w:b/>
        </w:rPr>
        <w:t xml:space="preserve">Klíčová je tedy rovnováha – nadměrné pití vody může být stejně škodlivé, jako její nedostatek. </w:t>
      </w:r>
    </w:p>
    <w:p w14:paraId="6FB0B28F" w14:textId="06F6965E" w:rsidR="00501AB0" w:rsidRPr="00D27385" w:rsidRDefault="00873CA6">
      <w:pPr>
        <w:rPr>
          <w:rFonts w:ascii="Calibri" w:hAnsi="Calibri" w:cs="Calibri"/>
          <w:bCs/>
          <w:shd w:val="clear" w:color="auto" w:fill="FFFFFF"/>
        </w:rPr>
      </w:pPr>
      <w:r>
        <w:rPr>
          <w:rFonts w:ascii="Calibri" w:hAnsi="Calibri" w:cs="Calibri"/>
        </w:rPr>
        <w:t xml:space="preserve">Autoři </w:t>
      </w:r>
      <w:r w:rsidR="00D27385" w:rsidRPr="00D27385">
        <w:rPr>
          <w:rFonts w:ascii="Calibri" w:hAnsi="Calibri" w:cs="Calibri"/>
        </w:rPr>
        <w:t xml:space="preserve">článku: </w:t>
      </w:r>
      <w:r w:rsidR="00D27385" w:rsidRPr="00D27385">
        <w:rPr>
          <w:rStyle w:val="Siln"/>
          <w:rFonts w:ascii="Calibri" w:hAnsi="Calibri" w:cs="Calibri"/>
          <w:b w:val="0"/>
          <w:shd w:val="clear" w:color="auto" w:fill="FFFFFF"/>
        </w:rPr>
        <w:t xml:space="preserve">Mgr. Adéla </w:t>
      </w:r>
      <w:proofErr w:type="spellStart"/>
      <w:r w:rsidR="00D27385" w:rsidRPr="00D27385">
        <w:rPr>
          <w:rStyle w:val="Siln"/>
          <w:rFonts w:ascii="Calibri" w:hAnsi="Calibri" w:cs="Calibri"/>
          <w:b w:val="0"/>
          <w:shd w:val="clear" w:color="auto" w:fill="FFFFFF"/>
        </w:rPr>
        <w:t>Lemrová</w:t>
      </w:r>
      <w:proofErr w:type="spellEnd"/>
      <w:r w:rsidR="00D27385" w:rsidRPr="00D27385">
        <w:rPr>
          <w:rStyle w:val="Siln"/>
          <w:rFonts w:ascii="Calibri" w:hAnsi="Calibri" w:cs="Calibri"/>
          <w:b w:val="0"/>
          <w:shd w:val="clear" w:color="auto" w:fill="FFFFFF"/>
        </w:rPr>
        <w:t>, Ph.D.</w:t>
      </w:r>
      <w:r>
        <w:rPr>
          <w:rStyle w:val="Siln"/>
          <w:rFonts w:ascii="Calibri" w:hAnsi="Calibri" w:cs="Calibri"/>
          <w:b w:val="0"/>
          <w:shd w:val="clear" w:color="auto" w:fill="FFFFFF"/>
        </w:rPr>
        <w:t xml:space="preserve">, </w:t>
      </w:r>
      <w:r w:rsidR="00D27385">
        <w:rPr>
          <w:rStyle w:val="Siln"/>
          <w:rFonts w:ascii="Calibri" w:hAnsi="Calibri" w:cs="Calibri"/>
          <w:b w:val="0"/>
          <w:shd w:val="clear" w:color="auto" w:fill="FFFFFF"/>
        </w:rPr>
        <w:t xml:space="preserve">Bc. Daniel Vágner                 </w:t>
      </w:r>
    </w:p>
    <w:p w14:paraId="5B9EE7EB" w14:textId="049BFFCB" w:rsidR="001E19A9" w:rsidRDefault="007C0AE9" w:rsidP="003B1056">
      <w:pPr>
        <w:jc w:val="both"/>
        <w:rPr>
          <w:b/>
        </w:rPr>
      </w:pPr>
      <w:r w:rsidRPr="003B1056">
        <w:rPr>
          <w:b/>
        </w:rPr>
        <w:lastRenderedPageBreak/>
        <w:t>Reference</w:t>
      </w:r>
      <w:bookmarkStart w:id="0" w:name="_GoBack"/>
      <w:bookmarkEnd w:id="0"/>
    </w:p>
    <w:p w14:paraId="47170CE0" w14:textId="77777777" w:rsidR="003B1056" w:rsidRPr="003B1056" w:rsidRDefault="003B1056" w:rsidP="00ED05F6">
      <w:pPr>
        <w:spacing w:line="276" w:lineRule="auto"/>
        <w:jc w:val="both"/>
        <w:rPr>
          <w:b/>
        </w:rPr>
      </w:pPr>
    </w:p>
    <w:p w14:paraId="49BE5A9D" w14:textId="77777777" w:rsidR="00ED05F6" w:rsidRPr="00ED05F6" w:rsidRDefault="001E19A9" w:rsidP="00ED05F6">
      <w:pPr>
        <w:pStyle w:val="Bibliografie"/>
        <w:numPr>
          <w:ilvl w:val="0"/>
          <w:numId w:val="3"/>
        </w:numPr>
        <w:spacing w:line="276" w:lineRule="auto"/>
        <w:rPr>
          <w:rFonts w:ascii="Calibri" w:hAnsi="Calibri" w:cs="Calibri"/>
        </w:rPr>
      </w:pPr>
      <w:r>
        <w:fldChar w:fldCharType="begin"/>
      </w:r>
      <w:r w:rsidR="00ED05F6">
        <w:instrText xml:space="preserve"> ADDIN ZOTERO_BIBL {"uncited":[],"omitted":[],"custom":[]} CSL_BIBLIOGRAPHY </w:instrText>
      </w:r>
      <w:r>
        <w:fldChar w:fldCharType="separate"/>
      </w:r>
      <w:r w:rsidR="00ED05F6" w:rsidRPr="00ED05F6">
        <w:rPr>
          <w:rFonts w:ascii="Calibri" w:hAnsi="Calibri" w:cs="Calibri"/>
        </w:rPr>
        <w:t xml:space="preserve">Benelam, B., &amp; Wyness, L. (2010). Hydration and health: A review. </w:t>
      </w:r>
      <w:r w:rsidR="00ED05F6" w:rsidRPr="00ED05F6">
        <w:rPr>
          <w:rFonts w:ascii="Calibri" w:hAnsi="Calibri" w:cs="Calibri"/>
          <w:i/>
          <w:iCs/>
        </w:rPr>
        <w:t>Nutrition Bulletin</w:t>
      </w:r>
      <w:r w:rsidR="00ED05F6" w:rsidRPr="00ED05F6">
        <w:rPr>
          <w:rFonts w:ascii="Calibri" w:hAnsi="Calibri" w:cs="Calibri"/>
        </w:rPr>
        <w:t xml:space="preserve">, </w:t>
      </w:r>
      <w:r w:rsidR="00ED05F6" w:rsidRPr="00ED05F6">
        <w:rPr>
          <w:rFonts w:ascii="Calibri" w:hAnsi="Calibri" w:cs="Calibri"/>
          <w:i/>
          <w:iCs/>
        </w:rPr>
        <w:t>35</w:t>
      </w:r>
      <w:r w:rsidR="00ED05F6" w:rsidRPr="00ED05F6">
        <w:rPr>
          <w:rFonts w:ascii="Calibri" w:hAnsi="Calibri" w:cs="Calibri"/>
        </w:rPr>
        <w:t>(1), 3–25.</w:t>
      </w:r>
    </w:p>
    <w:p w14:paraId="26A722C3"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Bhatia, M. S., Goyal, A., Saha, R., &amp; Doval, N. (2017). Psychogenic Polydipsia—Management Challenges. </w:t>
      </w:r>
      <w:r w:rsidRPr="00ED05F6">
        <w:rPr>
          <w:rFonts w:ascii="Calibri" w:hAnsi="Calibri" w:cs="Calibri"/>
          <w:i/>
          <w:iCs/>
        </w:rPr>
        <w:t>Shanghai Archives of Psychiatry</w:t>
      </w:r>
      <w:r w:rsidRPr="00ED05F6">
        <w:rPr>
          <w:rFonts w:ascii="Calibri" w:hAnsi="Calibri" w:cs="Calibri"/>
        </w:rPr>
        <w:t xml:space="preserve">, </w:t>
      </w:r>
      <w:r w:rsidRPr="00ED05F6">
        <w:rPr>
          <w:rFonts w:ascii="Calibri" w:hAnsi="Calibri" w:cs="Calibri"/>
          <w:i/>
          <w:iCs/>
        </w:rPr>
        <w:t>29</w:t>
      </w:r>
      <w:r w:rsidRPr="00ED05F6">
        <w:rPr>
          <w:rFonts w:ascii="Calibri" w:hAnsi="Calibri" w:cs="Calibri"/>
        </w:rPr>
        <w:t>(3), 180–183. https://doi.org/10.11919/j.issn.1002-0829.216106</w:t>
      </w:r>
    </w:p>
    <w:p w14:paraId="74ED51A0"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Çakır, A., &amp; Şahin, T. N. (2023). Evaluation of the impact of fluoride in drinking water and tea on the enamel of deciduous and permanent teeth. </w:t>
      </w:r>
      <w:r w:rsidRPr="00ED05F6">
        <w:rPr>
          <w:rFonts w:ascii="Calibri" w:hAnsi="Calibri" w:cs="Calibri"/>
          <w:i/>
          <w:iCs/>
        </w:rPr>
        <w:t>BMC Oral Health</w:t>
      </w:r>
      <w:r w:rsidRPr="00ED05F6">
        <w:rPr>
          <w:rFonts w:ascii="Calibri" w:hAnsi="Calibri" w:cs="Calibri"/>
        </w:rPr>
        <w:t xml:space="preserve">, </w:t>
      </w:r>
      <w:r w:rsidRPr="00ED05F6">
        <w:rPr>
          <w:rFonts w:ascii="Calibri" w:hAnsi="Calibri" w:cs="Calibri"/>
          <w:i/>
          <w:iCs/>
        </w:rPr>
        <w:t>23</w:t>
      </w:r>
      <w:r w:rsidRPr="00ED05F6">
        <w:rPr>
          <w:rFonts w:ascii="Calibri" w:hAnsi="Calibri" w:cs="Calibri"/>
        </w:rPr>
        <w:t>(1), 565.</w:t>
      </w:r>
    </w:p>
    <w:p w14:paraId="4F616F92"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Ganio, M. S., Armstrong, L. E., Casa, D. J., McDermott, B. P., Lee, E. C., Yamamoto, L. M., Marzano, S., Lopez, R. M., Jimenez, L., Le Bellego, L., Chevillotte, E., &amp; Lieberman, H. R. (2011). Mild dehydration impairs cognitive performance and mood of men. </w:t>
      </w:r>
      <w:r w:rsidRPr="00ED05F6">
        <w:rPr>
          <w:rFonts w:ascii="Calibri" w:hAnsi="Calibri" w:cs="Calibri"/>
          <w:i/>
          <w:iCs/>
        </w:rPr>
        <w:t>British Journal of Nutrition</w:t>
      </w:r>
      <w:r w:rsidRPr="00ED05F6">
        <w:rPr>
          <w:rFonts w:ascii="Calibri" w:hAnsi="Calibri" w:cs="Calibri"/>
        </w:rPr>
        <w:t xml:space="preserve">, </w:t>
      </w:r>
      <w:r w:rsidRPr="00ED05F6">
        <w:rPr>
          <w:rFonts w:ascii="Calibri" w:hAnsi="Calibri" w:cs="Calibri"/>
          <w:i/>
          <w:iCs/>
        </w:rPr>
        <w:t>106</w:t>
      </w:r>
      <w:r w:rsidRPr="00ED05F6">
        <w:rPr>
          <w:rFonts w:ascii="Calibri" w:hAnsi="Calibri" w:cs="Calibri"/>
        </w:rPr>
        <w:t>(10), 1535–1543. https://doi.org/10.1017/S0007114511002005</w:t>
      </w:r>
    </w:p>
    <w:p w14:paraId="68020509"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Jéquier, E., &amp; Constant, F. (2010). Water as an essential nutrient: The physiological basis of hydration. </w:t>
      </w:r>
      <w:r w:rsidRPr="00ED05F6">
        <w:rPr>
          <w:rFonts w:ascii="Calibri" w:hAnsi="Calibri" w:cs="Calibri"/>
          <w:i/>
          <w:iCs/>
        </w:rPr>
        <w:t>European journal of clinical nutrition</w:t>
      </w:r>
      <w:r w:rsidRPr="00ED05F6">
        <w:rPr>
          <w:rFonts w:ascii="Calibri" w:hAnsi="Calibri" w:cs="Calibri"/>
        </w:rPr>
        <w:t xml:space="preserve">, </w:t>
      </w:r>
      <w:r w:rsidRPr="00ED05F6">
        <w:rPr>
          <w:rFonts w:ascii="Calibri" w:hAnsi="Calibri" w:cs="Calibri"/>
          <w:i/>
          <w:iCs/>
        </w:rPr>
        <w:t>64</w:t>
      </w:r>
      <w:r w:rsidRPr="00ED05F6">
        <w:rPr>
          <w:rFonts w:ascii="Calibri" w:hAnsi="Calibri" w:cs="Calibri"/>
        </w:rPr>
        <w:t>(2), 115–123.</w:t>
      </w:r>
    </w:p>
    <w:p w14:paraId="308811AC"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Klingert, M., Nikolaidis, P. T., Weiss, K., Thuany, M., Chlíbková, D., &amp; Knechtle, B. (2022). Exercise-associated hyponatremia in marathon runners. </w:t>
      </w:r>
      <w:r w:rsidRPr="00ED05F6">
        <w:rPr>
          <w:rFonts w:ascii="Calibri" w:hAnsi="Calibri" w:cs="Calibri"/>
          <w:i/>
          <w:iCs/>
        </w:rPr>
        <w:t>Journal of clinical medicine</w:t>
      </w:r>
      <w:r w:rsidRPr="00ED05F6">
        <w:rPr>
          <w:rFonts w:ascii="Calibri" w:hAnsi="Calibri" w:cs="Calibri"/>
        </w:rPr>
        <w:t xml:space="preserve">, </w:t>
      </w:r>
      <w:r w:rsidRPr="00ED05F6">
        <w:rPr>
          <w:rFonts w:ascii="Calibri" w:hAnsi="Calibri" w:cs="Calibri"/>
          <w:i/>
          <w:iCs/>
        </w:rPr>
        <w:t>11</w:t>
      </w:r>
      <w:r w:rsidRPr="00ED05F6">
        <w:rPr>
          <w:rFonts w:ascii="Calibri" w:hAnsi="Calibri" w:cs="Calibri"/>
        </w:rPr>
        <w:t>(22), 6775.</w:t>
      </w:r>
    </w:p>
    <w:p w14:paraId="6F1AC06F"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Kotagiri, R., &amp; Kutti Sridharan, G. (2025). Primary Polydipsia. In </w:t>
      </w:r>
      <w:r w:rsidRPr="00ED05F6">
        <w:rPr>
          <w:rFonts w:ascii="Calibri" w:hAnsi="Calibri" w:cs="Calibri"/>
          <w:i/>
          <w:iCs/>
        </w:rPr>
        <w:t>StatPearls</w:t>
      </w:r>
      <w:r w:rsidRPr="00ED05F6">
        <w:rPr>
          <w:rFonts w:ascii="Calibri" w:hAnsi="Calibri" w:cs="Calibri"/>
        </w:rPr>
        <w:t>. StatPearls Publishing. http://www.ncbi.nlm.nih.gov/books/NBK562251/</w:t>
      </w:r>
    </w:p>
    <w:p w14:paraId="70555111"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Kožíšek, F. (2025). Voda jako základ zdraví. Zásady pitného režimu. </w:t>
      </w:r>
      <w:r w:rsidRPr="00ED05F6">
        <w:rPr>
          <w:rFonts w:ascii="Calibri" w:hAnsi="Calibri" w:cs="Calibri"/>
          <w:i/>
          <w:iCs/>
        </w:rPr>
        <w:t>SZÚ | Oficiální web Státního zdravotního ústavu v Praze</w:t>
      </w:r>
      <w:r w:rsidRPr="00ED05F6">
        <w:rPr>
          <w:rFonts w:ascii="Calibri" w:hAnsi="Calibri" w:cs="Calibri"/>
        </w:rPr>
        <w:t>. https://szu.gov.cz/temata-zdravi-a-bezpecnosti/zivotni-prostredi/kvalita-vody/balena-voda/voda-jako-zaklad-zdravi-zasady-pitneho-rezimu/</w:t>
      </w:r>
    </w:p>
    <w:p w14:paraId="1413E500"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Li, S., Xiao, X., &amp; Zhang, X. (2023). Hydration status in older adults: Current knowledge and future challenges. </w:t>
      </w:r>
      <w:r w:rsidRPr="00ED05F6">
        <w:rPr>
          <w:rFonts w:ascii="Calibri" w:hAnsi="Calibri" w:cs="Calibri"/>
          <w:i/>
          <w:iCs/>
        </w:rPr>
        <w:t>Nutrients</w:t>
      </w:r>
      <w:r w:rsidRPr="00ED05F6">
        <w:rPr>
          <w:rFonts w:ascii="Calibri" w:hAnsi="Calibri" w:cs="Calibri"/>
        </w:rPr>
        <w:t xml:space="preserve">, </w:t>
      </w:r>
      <w:r w:rsidRPr="00ED05F6">
        <w:rPr>
          <w:rFonts w:ascii="Calibri" w:hAnsi="Calibri" w:cs="Calibri"/>
          <w:i/>
          <w:iCs/>
        </w:rPr>
        <w:t>15</w:t>
      </w:r>
      <w:r w:rsidRPr="00ED05F6">
        <w:rPr>
          <w:rFonts w:ascii="Calibri" w:hAnsi="Calibri" w:cs="Calibri"/>
        </w:rPr>
        <w:t>(11), 2609.</w:t>
      </w:r>
    </w:p>
    <w:p w14:paraId="5A44F329"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Mackus, M., Stock, A.-K., Garssen, J., Scholey, A., &amp; Verster, J. C. (2024). Alcohol hangover versus dehydration revisited: The effect of drinking water to prevent or alleviate the alcohol hangover. </w:t>
      </w:r>
      <w:r w:rsidRPr="00ED05F6">
        <w:rPr>
          <w:rFonts w:ascii="Calibri" w:hAnsi="Calibri" w:cs="Calibri"/>
          <w:i/>
          <w:iCs/>
        </w:rPr>
        <w:t>Alcohol</w:t>
      </w:r>
      <w:r w:rsidRPr="00ED05F6">
        <w:rPr>
          <w:rFonts w:ascii="Calibri" w:hAnsi="Calibri" w:cs="Calibri"/>
        </w:rPr>
        <w:t>.</w:t>
      </w:r>
    </w:p>
    <w:p w14:paraId="223154A5"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Popkin, B. M., D’Anci, K. E., &amp; Rosenberg, I. H. (2010). Water, hydration, and health: Nutrition Reviews©, Vol. 68, No. 8. </w:t>
      </w:r>
      <w:r w:rsidRPr="00ED05F6">
        <w:rPr>
          <w:rFonts w:ascii="Calibri" w:hAnsi="Calibri" w:cs="Calibri"/>
          <w:i/>
          <w:iCs/>
        </w:rPr>
        <w:t>Nutrition Reviews</w:t>
      </w:r>
      <w:r w:rsidRPr="00ED05F6">
        <w:rPr>
          <w:rFonts w:ascii="Calibri" w:hAnsi="Calibri" w:cs="Calibri"/>
        </w:rPr>
        <w:t xml:space="preserve">, </w:t>
      </w:r>
      <w:r w:rsidRPr="00ED05F6">
        <w:rPr>
          <w:rFonts w:ascii="Calibri" w:hAnsi="Calibri" w:cs="Calibri"/>
          <w:i/>
          <w:iCs/>
        </w:rPr>
        <w:t>68</w:t>
      </w:r>
      <w:r w:rsidRPr="00ED05F6">
        <w:rPr>
          <w:rFonts w:ascii="Calibri" w:hAnsi="Calibri" w:cs="Calibri"/>
        </w:rPr>
        <w:t>(8), 439–458. https://doi.org/10.1111/j.1753-4887.2010.00304.x</w:t>
      </w:r>
    </w:p>
    <w:p w14:paraId="5989153B"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Rosemiarti, T., &amp; Basrowi, R. W. (2023). Caffeine Intake and its Effect on Hydration Status Among Workers: A Literature Review. </w:t>
      </w:r>
      <w:r w:rsidRPr="00ED05F6">
        <w:rPr>
          <w:rFonts w:ascii="Calibri" w:hAnsi="Calibri" w:cs="Calibri"/>
          <w:i/>
          <w:iCs/>
        </w:rPr>
        <w:t>The Indonesian Journal of Community and Occupational Medicine</w:t>
      </w:r>
      <w:r w:rsidRPr="00ED05F6">
        <w:rPr>
          <w:rFonts w:ascii="Calibri" w:hAnsi="Calibri" w:cs="Calibri"/>
        </w:rPr>
        <w:t xml:space="preserve">, </w:t>
      </w:r>
      <w:r w:rsidRPr="00ED05F6">
        <w:rPr>
          <w:rFonts w:ascii="Calibri" w:hAnsi="Calibri" w:cs="Calibri"/>
          <w:i/>
          <w:iCs/>
        </w:rPr>
        <w:t>3</w:t>
      </w:r>
      <w:r w:rsidRPr="00ED05F6">
        <w:rPr>
          <w:rFonts w:ascii="Calibri" w:hAnsi="Calibri" w:cs="Calibri"/>
        </w:rPr>
        <w:t>(2), 113–122.</w:t>
      </w:r>
    </w:p>
    <w:p w14:paraId="7B0069B9"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Sato, K., Hara-Chikuma, M., Yasui, M., Inoue, J., &amp; Kim, Y.-G. (2024). Sufficient water intake maintains the gut microbiota and immune homeostasis and promotes pathogen elimination. </w:t>
      </w:r>
      <w:r w:rsidRPr="00ED05F6">
        <w:rPr>
          <w:rFonts w:ascii="Calibri" w:hAnsi="Calibri" w:cs="Calibri"/>
          <w:i/>
          <w:iCs/>
        </w:rPr>
        <w:t>Iscience</w:t>
      </w:r>
      <w:r w:rsidRPr="00ED05F6">
        <w:rPr>
          <w:rFonts w:ascii="Calibri" w:hAnsi="Calibri" w:cs="Calibri"/>
        </w:rPr>
        <w:t xml:space="preserve">, </w:t>
      </w:r>
      <w:r w:rsidRPr="00ED05F6">
        <w:rPr>
          <w:rFonts w:ascii="Calibri" w:hAnsi="Calibri" w:cs="Calibri"/>
          <w:i/>
          <w:iCs/>
        </w:rPr>
        <w:t>27</w:t>
      </w:r>
      <w:r w:rsidRPr="00ED05F6">
        <w:rPr>
          <w:rFonts w:ascii="Calibri" w:hAnsi="Calibri" w:cs="Calibri"/>
        </w:rPr>
        <w:t>(6).</w:t>
      </w:r>
    </w:p>
    <w:p w14:paraId="59E4D09F"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Tobias, A., Ballard, B. D., &amp; Mohiuddin, S. S. (2022). </w:t>
      </w:r>
      <w:r w:rsidRPr="00ED05F6">
        <w:rPr>
          <w:rFonts w:ascii="Calibri" w:hAnsi="Calibri" w:cs="Calibri"/>
          <w:i/>
          <w:iCs/>
        </w:rPr>
        <w:t>Physiology, Water Balance [Internet]</w:t>
      </w:r>
      <w:r w:rsidRPr="00ED05F6">
        <w:rPr>
          <w:rFonts w:ascii="Calibri" w:hAnsi="Calibri" w:cs="Calibri"/>
        </w:rPr>
        <w:t>. StatPearls Publishing.</w:t>
      </w:r>
    </w:p>
    <w:p w14:paraId="3A244BB0"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UN Water. (2024). </w:t>
      </w:r>
      <w:r w:rsidRPr="00ED05F6">
        <w:rPr>
          <w:rFonts w:ascii="Calibri" w:hAnsi="Calibri" w:cs="Calibri"/>
          <w:i/>
          <w:iCs/>
        </w:rPr>
        <w:t>Country Acceleration Case Studies</w:t>
      </w:r>
      <w:r w:rsidRPr="00ED05F6">
        <w:rPr>
          <w:rFonts w:ascii="Calibri" w:hAnsi="Calibri" w:cs="Calibri"/>
        </w:rPr>
        <w:t>. UN-Water. https://www.unwater.org/publications/country-acceleration-case-studies</w:t>
      </w:r>
    </w:p>
    <w:p w14:paraId="1D78764E"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Vora, A., Kalra, S., Thakor, P., Malve, H., Chamle, V., &amp; Patil, A. (2024). Connecting the Dots: Hydration, Micronutrients, and Immunity. </w:t>
      </w:r>
      <w:r w:rsidRPr="00ED05F6">
        <w:rPr>
          <w:rFonts w:ascii="Calibri" w:hAnsi="Calibri" w:cs="Calibri"/>
          <w:i/>
          <w:iCs/>
        </w:rPr>
        <w:t>The Journal of the Association of Physicians of India</w:t>
      </w:r>
      <w:r w:rsidRPr="00ED05F6">
        <w:rPr>
          <w:rFonts w:ascii="Calibri" w:hAnsi="Calibri" w:cs="Calibri"/>
        </w:rPr>
        <w:t xml:space="preserve">, </w:t>
      </w:r>
      <w:r w:rsidRPr="00ED05F6">
        <w:rPr>
          <w:rFonts w:ascii="Calibri" w:hAnsi="Calibri" w:cs="Calibri"/>
          <w:i/>
          <w:iCs/>
        </w:rPr>
        <w:t>72</w:t>
      </w:r>
      <w:r w:rsidRPr="00ED05F6">
        <w:rPr>
          <w:rFonts w:ascii="Calibri" w:hAnsi="Calibri" w:cs="Calibri"/>
        </w:rPr>
        <w:t>(6S), 25–29.</w:t>
      </w:r>
    </w:p>
    <w:p w14:paraId="315F603C"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lastRenderedPageBreak/>
        <w:t xml:space="preserve">WHO. (2023). </w:t>
      </w:r>
      <w:r w:rsidRPr="00ED05F6">
        <w:rPr>
          <w:rFonts w:ascii="Calibri" w:hAnsi="Calibri" w:cs="Calibri"/>
          <w:i/>
          <w:iCs/>
        </w:rPr>
        <w:t>Drinking-water</w:t>
      </w:r>
      <w:r w:rsidRPr="00ED05F6">
        <w:rPr>
          <w:rFonts w:ascii="Calibri" w:hAnsi="Calibri" w:cs="Calibri"/>
        </w:rPr>
        <w:t>. https://www.who.int/news-room/fact-sheets/detail/drinking-water</w:t>
      </w:r>
    </w:p>
    <w:p w14:paraId="32FBA5BB"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WHO. (2025). </w:t>
      </w:r>
      <w:r w:rsidRPr="00ED05F6">
        <w:rPr>
          <w:rFonts w:ascii="Calibri" w:hAnsi="Calibri" w:cs="Calibri"/>
          <w:i/>
          <w:iCs/>
        </w:rPr>
        <w:t>WHO International Network of Drinking-water and Sanitation Regulators (RegNet): Strategy 2023-2030</w:t>
      </w:r>
      <w:r w:rsidRPr="00ED05F6">
        <w:rPr>
          <w:rFonts w:ascii="Calibri" w:hAnsi="Calibri" w:cs="Calibri"/>
        </w:rPr>
        <w:t>. https://www.who.int/publications/m/item/who-international-network-of-drinking-water-and-sanitation-regulators-(regnet)--strategy-2023-2030</w:t>
      </w:r>
    </w:p>
    <w:p w14:paraId="7B11B8CB" w14:textId="77777777" w:rsidR="00ED05F6" w:rsidRPr="00ED05F6" w:rsidRDefault="00ED05F6" w:rsidP="00ED05F6">
      <w:pPr>
        <w:pStyle w:val="Bibliografie"/>
        <w:numPr>
          <w:ilvl w:val="0"/>
          <w:numId w:val="3"/>
        </w:numPr>
        <w:spacing w:line="276" w:lineRule="auto"/>
        <w:rPr>
          <w:rFonts w:ascii="Calibri" w:hAnsi="Calibri" w:cs="Calibri"/>
        </w:rPr>
      </w:pPr>
      <w:r w:rsidRPr="00ED05F6">
        <w:rPr>
          <w:rFonts w:ascii="Calibri" w:hAnsi="Calibri" w:cs="Calibri"/>
        </w:rPr>
        <w:t xml:space="preserve">Zhao, D., Ning, J., Zhao, Y., &amp; Lu, E. (2021). Associations of dietary and drinking water habits with number of natural teeth: A longitudinal study in the Chinese elderly population. </w:t>
      </w:r>
      <w:r w:rsidRPr="00ED05F6">
        <w:rPr>
          <w:rFonts w:ascii="Calibri" w:hAnsi="Calibri" w:cs="Calibri"/>
          <w:i/>
          <w:iCs/>
        </w:rPr>
        <w:t>BMC geriatrics</w:t>
      </w:r>
      <w:r w:rsidRPr="00ED05F6">
        <w:rPr>
          <w:rFonts w:ascii="Calibri" w:hAnsi="Calibri" w:cs="Calibri"/>
        </w:rPr>
        <w:t xml:space="preserve">, </w:t>
      </w:r>
      <w:r w:rsidRPr="00ED05F6">
        <w:rPr>
          <w:rFonts w:ascii="Calibri" w:hAnsi="Calibri" w:cs="Calibri"/>
          <w:i/>
          <w:iCs/>
        </w:rPr>
        <w:t>21</w:t>
      </w:r>
      <w:r w:rsidRPr="00ED05F6">
        <w:rPr>
          <w:rFonts w:ascii="Calibri" w:hAnsi="Calibri" w:cs="Calibri"/>
        </w:rPr>
        <w:t>, 1–16.</w:t>
      </w:r>
    </w:p>
    <w:p w14:paraId="4A5517BE" w14:textId="71EB36FC" w:rsidR="004461A8" w:rsidRPr="004461A8" w:rsidRDefault="001E19A9" w:rsidP="00ED05F6">
      <w:pPr>
        <w:spacing w:line="276" w:lineRule="auto"/>
        <w:jc w:val="both"/>
      </w:pPr>
      <w:r>
        <w:fldChar w:fldCharType="end"/>
      </w:r>
    </w:p>
    <w:sectPr w:rsidR="004461A8" w:rsidRPr="00446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7B56"/>
    <w:multiLevelType w:val="hybridMultilevel"/>
    <w:tmpl w:val="D73A76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4D0E0D"/>
    <w:multiLevelType w:val="multilevel"/>
    <w:tmpl w:val="881C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2103CB"/>
    <w:multiLevelType w:val="hybridMultilevel"/>
    <w:tmpl w:val="3F589D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72"/>
    <w:rsid w:val="0009054F"/>
    <w:rsid w:val="000B330D"/>
    <w:rsid w:val="000D6195"/>
    <w:rsid w:val="001209B5"/>
    <w:rsid w:val="00132EF6"/>
    <w:rsid w:val="00137098"/>
    <w:rsid w:val="0015111F"/>
    <w:rsid w:val="001C62F5"/>
    <w:rsid w:val="001D5DFC"/>
    <w:rsid w:val="001E19A9"/>
    <w:rsid w:val="002066FB"/>
    <w:rsid w:val="00213709"/>
    <w:rsid w:val="00222D83"/>
    <w:rsid w:val="002279B5"/>
    <w:rsid w:val="00266880"/>
    <w:rsid w:val="0028296C"/>
    <w:rsid w:val="002E19A1"/>
    <w:rsid w:val="00367971"/>
    <w:rsid w:val="003B1056"/>
    <w:rsid w:val="003F2F98"/>
    <w:rsid w:val="004461A8"/>
    <w:rsid w:val="004D7A01"/>
    <w:rsid w:val="004F03B7"/>
    <w:rsid w:val="00501AB0"/>
    <w:rsid w:val="00517821"/>
    <w:rsid w:val="00592C60"/>
    <w:rsid w:val="006222E1"/>
    <w:rsid w:val="006462D8"/>
    <w:rsid w:val="0069305A"/>
    <w:rsid w:val="006A1BD5"/>
    <w:rsid w:val="00737B1E"/>
    <w:rsid w:val="00771785"/>
    <w:rsid w:val="007A7F26"/>
    <w:rsid w:val="007B165F"/>
    <w:rsid w:val="007C0AE9"/>
    <w:rsid w:val="007C1731"/>
    <w:rsid w:val="008500C5"/>
    <w:rsid w:val="00863D56"/>
    <w:rsid w:val="00873CA6"/>
    <w:rsid w:val="008B008F"/>
    <w:rsid w:val="008B50D6"/>
    <w:rsid w:val="008C6FEE"/>
    <w:rsid w:val="008D5A89"/>
    <w:rsid w:val="008D7900"/>
    <w:rsid w:val="008E3D6C"/>
    <w:rsid w:val="009275E5"/>
    <w:rsid w:val="0097784D"/>
    <w:rsid w:val="00A524B6"/>
    <w:rsid w:val="00A810E0"/>
    <w:rsid w:val="00B64CCC"/>
    <w:rsid w:val="00B65000"/>
    <w:rsid w:val="00BD551D"/>
    <w:rsid w:val="00BD7BA3"/>
    <w:rsid w:val="00C85D72"/>
    <w:rsid w:val="00C92A6A"/>
    <w:rsid w:val="00D27385"/>
    <w:rsid w:val="00DA42B4"/>
    <w:rsid w:val="00DE1179"/>
    <w:rsid w:val="00E14640"/>
    <w:rsid w:val="00E16910"/>
    <w:rsid w:val="00E268FB"/>
    <w:rsid w:val="00EC1718"/>
    <w:rsid w:val="00EC6FEE"/>
    <w:rsid w:val="00ED05F6"/>
    <w:rsid w:val="00ED731C"/>
    <w:rsid w:val="00EF7865"/>
    <w:rsid w:val="00F42096"/>
    <w:rsid w:val="00F54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6320"/>
  <w15:chartTrackingRefBased/>
  <w15:docId w15:val="{2B5E8F30-B374-41D5-A9F6-A3D5BB59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ibliografie">
    <w:name w:val="Bibliography"/>
    <w:basedOn w:val="Normln"/>
    <w:next w:val="Normln"/>
    <w:uiPriority w:val="37"/>
    <w:unhideWhenUsed/>
    <w:rsid w:val="001E19A9"/>
    <w:pPr>
      <w:spacing w:after="0" w:line="480" w:lineRule="auto"/>
      <w:ind w:left="720" w:hanging="720"/>
    </w:pPr>
  </w:style>
  <w:style w:type="paragraph" w:styleId="Normlnweb">
    <w:name w:val="Normal (Web)"/>
    <w:basedOn w:val="Normln"/>
    <w:uiPriority w:val="99"/>
    <w:semiHidden/>
    <w:unhideWhenUsed/>
    <w:rsid w:val="007C0A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F03B7"/>
    <w:pPr>
      <w:ind w:left="720"/>
      <w:contextualSpacing/>
    </w:pPr>
  </w:style>
  <w:style w:type="character" w:styleId="Hypertextovodkaz">
    <w:name w:val="Hyperlink"/>
    <w:basedOn w:val="Standardnpsmoodstavce"/>
    <w:uiPriority w:val="99"/>
    <w:unhideWhenUsed/>
    <w:rsid w:val="004461A8"/>
    <w:rPr>
      <w:color w:val="0563C1" w:themeColor="hyperlink"/>
      <w:u w:val="single"/>
    </w:rPr>
  </w:style>
  <w:style w:type="character" w:styleId="Odkaznakoment">
    <w:name w:val="annotation reference"/>
    <w:basedOn w:val="Standardnpsmoodstavce"/>
    <w:uiPriority w:val="99"/>
    <w:semiHidden/>
    <w:unhideWhenUsed/>
    <w:rsid w:val="008500C5"/>
    <w:rPr>
      <w:sz w:val="16"/>
      <w:szCs w:val="16"/>
    </w:rPr>
  </w:style>
  <w:style w:type="paragraph" w:styleId="Textkomente">
    <w:name w:val="annotation text"/>
    <w:basedOn w:val="Normln"/>
    <w:link w:val="TextkomenteChar"/>
    <w:uiPriority w:val="99"/>
    <w:semiHidden/>
    <w:unhideWhenUsed/>
    <w:rsid w:val="008500C5"/>
    <w:pPr>
      <w:spacing w:line="240" w:lineRule="auto"/>
    </w:pPr>
    <w:rPr>
      <w:sz w:val="20"/>
      <w:szCs w:val="20"/>
    </w:rPr>
  </w:style>
  <w:style w:type="character" w:customStyle="1" w:styleId="TextkomenteChar">
    <w:name w:val="Text komentáře Char"/>
    <w:basedOn w:val="Standardnpsmoodstavce"/>
    <w:link w:val="Textkomente"/>
    <w:uiPriority w:val="99"/>
    <w:semiHidden/>
    <w:rsid w:val="008500C5"/>
    <w:rPr>
      <w:sz w:val="20"/>
      <w:szCs w:val="20"/>
    </w:rPr>
  </w:style>
  <w:style w:type="paragraph" w:styleId="Pedmtkomente">
    <w:name w:val="annotation subject"/>
    <w:basedOn w:val="Textkomente"/>
    <w:next w:val="Textkomente"/>
    <w:link w:val="PedmtkomenteChar"/>
    <w:uiPriority w:val="99"/>
    <w:semiHidden/>
    <w:unhideWhenUsed/>
    <w:rsid w:val="008500C5"/>
    <w:rPr>
      <w:b/>
      <w:bCs/>
    </w:rPr>
  </w:style>
  <w:style w:type="character" w:customStyle="1" w:styleId="PedmtkomenteChar">
    <w:name w:val="Předmět komentáře Char"/>
    <w:basedOn w:val="TextkomenteChar"/>
    <w:link w:val="Pedmtkomente"/>
    <w:uiPriority w:val="99"/>
    <w:semiHidden/>
    <w:rsid w:val="008500C5"/>
    <w:rPr>
      <w:b/>
      <w:bCs/>
      <w:sz w:val="20"/>
      <w:szCs w:val="20"/>
    </w:rPr>
  </w:style>
  <w:style w:type="paragraph" w:styleId="Textbubliny">
    <w:name w:val="Balloon Text"/>
    <w:basedOn w:val="Normln"/>
    <w:link w:val="TextbublinyChar"/>
    <w:uiPriority w:val="99"/>
    <w:semiHidden/>
    <w:unhideWhenUsed/>
    <w:rsid w:val="008500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00C5"/>
    <w:rPr>
      <w:rFonts w:ascii="Segoe UI" w:hAnsi="Segoe UI" w:cs="Segoe UI"/>
      <w:sz w:val="18"/>
      <w:szCs w:val="18"/>
    </w:rPr>
  </w:style>
  <w:style w:type="character" w:styleId="Siln">
    <w:name w:val="Strong"/>
    <w:basedOn w:val="Standardnpsmoodstavce"/>
    <w:uiPriority w:val="22"/>
    <w:qFormat/>
    <w:rsid w:val="00D27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8600">
      <w:bodyDiv w:val="1"/>
      <w:marLeft w:val="0"/>
      <w:marRight w:val="0"/>
      <w:marTop w:val="0"/>
      <w:marBottom w:val="0"/>
      <w:divBdr>
        <w:top w:val="none" w:sz="0" w:space="0" w:color="auto"/>
        <w:left w:val="none" w:sz="0" w:space="0" w:color="auto"/>
        <w:bottom w:val="none" w:sz="0" w:space="0" w:color="auto"/>
        <w:right w:val="none" w:sz="0" w:space="0" w:color="auto"/>
      </w:divBdr>
    </w:div>
    <w:div w:id="159856896">
      <w:bodyDiv w:val="1"/>
      <w:marLeft w:val="0"/>
      <w:marRight w:val="0"/>
      <w:marTop w:val="0"/>
      <w:marBottom w:val="0"/>
      <w:divBdr>
        <w:top w:val="none" w:sz="0" w:space="0" w:color="auto"/>
        <w:left w:val="none" w:sz="0" w:space="0" w:color="auto"/>
        <w:bottom w:val="none" w:sz="0" w:space="0" w:color="auto"/>
        <w:right w:val="none" w:sz="0" w:space="0" w:color="auto"/>
      </w:divBdr>
      <w:divsChild>
        <w:div w:id="717168582">
          <w:marLeft w:val="0"/>
          <w:marRight w:val="0"/>
          <w:marTop w:val="0"/>
          <w:marBottom w:val="0"/>
          <w:divBdr>
            <w:top w:val="none" w:sz="0" w:space="0" w:color="auto"/>
            <w:left w:val="none" w:sz="0" w:space="0" w:color="auto"/>
            <w:bottom w:val="none" w:sz="0" w:space="0" w:color="auto"/>
            <w:right w:val="none" w:sz="0" w:space="0" w:color="auto"/>
          </w:divBdr>
        </w:div>
      </w:divsChild>
    </w:div>
    <w:div w:id="766074213">
      <w:bodyDiv w:val="1"/>
      <w:marLeft w:val="0"/>
      <w:marRight w:val="0"/>
      <w:marTop w:val="0"/>
      <w:marBottom w:val="0"/>
      <w:divBdr>
        <w:top w:val="none" w:sz="0" w:space="0" w:color="auto"/>
        <w:left w:val="none" w:sz="0" w:space="0" w:color="auto"/>
        <w:bottom w:val="none" w:sz="0" w:space="0" w:color="auto"/>
        <w:right w:val="none" w:sz="0" w:space="0" w:color="auto"/>
      </w:divBdr>
      <w:divsChild>
        <w:div w:id="565534020">
          <w:marLeft w:val="0"/>
          <w:marRight w:val="0"/>
          <w:marTop w:val="0"/>
          <w:marBottom w:val="0"/>
          <w:divBdr>
            <w:top w:val="none" w:sz="0" w:space="0" w:color="auto"/>
            <w:left w:val="none" w:sz="0" w:space="0" w:color="auto"/>
            <w:bottom w:val="none" w:sz="0" w:space="0" w:color="auto"/>
            <w:right w:val="none" w:sz="0" w:space="0" w:color="auto"/>
          </w:divBdr>
        </w:div>
      </w:divsChild>
    </w:div>
    <w:div w:id="795104241">
      <w:bodyDiv w:val="1"/>
      <w:marLeft w:val="0"/>
      <w:marRight w:val="0"/>
      <w:marTop w:val="0"/>
      <w:marBottom w:val="0"/>
      <w:divBdr>
        <w:top w:val="none" w:sz="0" w:space="0" w:color="auto"/>
        <w:left w:val="none" w:sz="0" w:space="0" w:color="auto"/>
        <w:bottom w:val="none" w:sz="0" w:space="0" w:color="auto"/>
        <w:right w:val="none" w:sz="0" w:space="0" w:color="auto"/>
      </w:divBdr>
      <w:divsChild>
        <w:div w:id="1845708676">
          <w:marLeft w:val="0"/>
          <w:marRight w:val="0"/>
          <w:marTop w:val="0"/>
          <w:marBottom w:val="0"/>
          <w:divBdr>
            <w:top w:val="none" w:sz="0" w:space="0" w:color="auto"/>
            <w:left w:val="none" w:sz="0" w:space="0" w:color="auto"/>
            <w:bottom w:val="none" w:sz="0" w:space="0" w:color="auto"/>
            <w:right w:val="none" w:sz="0" w:space="0" w:color="auto"/>
          </w:divBdr>
        </w:div>
      </w:divsChild>
    </w:div>
    <w:div w:id="860431068">
      <w:bodyDiv w:val="1"/>
      <w:marLeft w:val="0"/>
      <w:marRight w:val="0"/>
      <w:marTop w:val="0"/>
      <w:marBottom w:val="0"/>
      <w:divBdr>
        <w:top w:val="none" w:sz="0" w:space="0" w:color="auto"/>
        <w:left w:val="none" w:sz="0" w:space="0" w:color="auto"/>
        <w:bottom w:val="none" w:sz="0" w:space="0" w:color="auto"/>
        <w:right w:val="none" w:sz="0" w:space="0" w:color="auto"/>
      </w:divBdr>
    </w:div>
    <w:div w:id="978732469">
      <w:bodyDiv w:val="1"/>
      <w:marLeft w:val="0"/>
      <w:marRight w:val="0"/>
      <w:marTop w:val="0"/>
      <w:marBottom w:val="0"/>
      <w:divBdr>
        <w:top w:val="none" w:sz="0" w:space="0" w:color="auto"/>
        <w:left w:val="none" w:sz="0" w:space="0" w:color="auto"/>
        <w:bottom w:val="none" w:sz="0" w:space="0" w:color="auto"/>
        <w:right w:val="none" w:sz="0" w:space="0" w:color="auto"/>
      </w:divBdr>
      <w:divsChild>
        <w:div w:id="293099915">
          <w:marLeft w:val="0"/>
          <w:marRight w:val="0"/>
          <w:marTop w:val="0"/>
          <w:marBottom w:val="0"/>
          <w:divBdr>
            <w:top w:val="none" w:sz="0" w:space="0" w:color="auto"/>
            <w:left w:val="none" w:sz="0" w:space="0" w:color="auto"/>
            <w:bottom w:val="none" w:sz="0" w:space="0" w:color="auto"/>
            <w:right w:val="none" w:sz="0" w:space="0" w:color="auto"/>
          </w:divBdr>
        </w:div>
      </w:divsChild>
    </w:div>
    <w:div w:id="996347858">
      <w:bodyDiv w:val="1"/>
      <w:marLeft w:val="0"/>
      <w:marRight w:val="0"/>
      <w:marTop w:val="0"/>
      <w:marBottom w:val="0"/>
      <w:divBdr>
        <w:top w:val="none" w:sz="0" w:space="0" w:color="auto"/>
        <w:left w:val="none" w:sz="0" w:space="0" w:color="auto"/>
        <w:bottom w:val="none" w:sz="0" w:space="0" w:color="auto"/>
        <w:right w:val="none" w:sz="0" w:space="0" w:color="auto"/>
      </w:divBdr>
      <w:divsChild>
        <w:div w:id="131741">
          <w:marLeft w:val="0"/>
          <w:marRight w:val="0"/>
          <w:marTop w:val="0"/>
          <w:marBottom w:val="0"/>
          <w:divBdr>
            <w:top w:val="none" w:sz="0" w:space="0" w:color="auto"/>
            <w:left w:val="none" w:sz="0" w:space="0" w:color="auto"/>
            <w:bottom w:val="none" w:sz="0" w:space="0" w:color="auto"/>
            <w:right w:val="none" w:sz="0" w:space="0" w:color="auto"/>
          </w:divBdr>
        </w:div>
      </w:divsChild>
    </w:div>
    <w:div w:id="1231311669">
      <w:bodyDiv w:val="1"/>
      <w:marLeft w:val="0"/>
      <w:marRight w:val="0"/>
      <w:marTop w:val="0"/>
      <w:marBottom w:val="0"/>
      <w:divBdr>
        <w:top w:val="none" w:sz="0" w:space="0" w:color="auto"/>
        <w:left w:val="none" w:sz="0" w:space="0" w:color="auto"/>
        <w:bottom w:val="none" w:sz="0" w:space="0" w:color="auto"/>
        <w:right w:val="none" w:sz="0" w:space="0" w:color="auto"/>
      </w:divBdr>
    </w:div>
    <w:div w:id="1272781203">
      <w:bodyDiv w:val="1"/>
      <w:marLeft w:val="0"/>
      <w:marRight w:val="0"/>
      <w:marTop w:val="0"/>
      <w:marBottom w:val="0"/>
      <w:divBdr>
        <w:top w:val="none" w:sz="0" w:space="0" w:color="auto"/>
        <w:left w:val="none" w:sz="0" w:space="0" w:color="auto"/>
        <w:bottom w:val="none" w:sz="0" w:space="0" w:color="auto"/>
        <w:right w:val="none" w:sz="0" w:space="0" w:color="auto"/>
      </w:divBdr>
      <w:divsChild>
        <w:div w:id="1638804084">
          <w:marLeft w:val="0"/>
          <w:marRight w:val="0"/>
          <w:marTop w:val="0"/>
          <w:marBottom w:val="0"/>
          <w:divBdr>
            <w:top w:val="none" w:sz="0" w:space="0" w:color="auto"/>
            <w:left w:val="none" w:sz="0" w:space="0" w:color="auto"/>
            <w:bottom w:val="none" w:sz="0" w:space="0" w:color="auto"/>
            <w:right w:val="none" w:sz="0" w:space="0" w:color="auto"/>
          </w:divBdr>
        </w:div>
      </w:divsChild>
    </w:div>
    <w:div w:id="1458446035">
      <w:bodyDiv w:val="1"/>
      <w:marLeft w:val="0"/>
      <w:marRight w:val="0"/>
      <w:marTop w:val="0"/>
      <w:marBottom w:val="0"/>
      <w:divBdr>
        <w:top w:val="none" w:sz="0" w:space="0" w:color="auto"/>
        <w:left w:val="none" w:sz="0" w:space="0" w:color="auto"/>
        <w:bottom w:val="none" w:sz="0" w:space="0" w:color="auto"/>
        <w:right w:val="none" w:sz="0" w:space="0" w:color="auto"/>
      </w:divBdr>
      <w:divsChild>
        <w:div w:id="166482955">
          <w:marLeft w:val="0"/>
          <w:marRight w:val="0"/>
          <w:marTop w:val="0"/>
          <w:marBottom w:val="0"/>
          <w:divBdr>
            <w:top w:val="none" w:sz="0" w:space="0" w:color="auto"/>
            <w:left w:val="none" w:sz="0" w:space="0" w:color="auto"/>
            <w:bottom w:val="none" w:sz="0" w:space="0" w:color="auto"/>
            <w:right w:val="none" w:sz="0" w:space="0" w:color="auto"/>
          </w:divBdr>
        </w:div>
      </w:divsChild>
    </w:div>
    <w:div w:id="1522933564">
      <w:bodyDiv w:val="1"/>
      <w:marLeft w:val="0"/>
      <w:marRight w:val="0"/>
      <w:marTop w:val="0"/>
      <w:marBottom w:val="0"/>
      <w:divBdr>
        <w:top w:val="none" w:sz="0" w:space="0" w:color="auto"/>
        <w:left w:val="none" w:sz="0" w:space="0" w:color="auto"/>
        <w:bottom w:val="none" w:sz="0" w:space="0" w:color="auto"/>
        <w:right w:val="none" w:sz="0" w:space="0" w:color="auto"/>
      </w:divBdr>
      <w:divsChild>
        <w:div w:id="111049525">
          <w:marLeft w:val="0"/>
          <w:marRight w:val="0"/>
          <w:marTop w:val="0"/>
          <w:marBottom w:val="0"/>
          <w:divBdr>
            <w:top w:val="none" w:sz="0" w:space="0" w:color="auto"/>
            <w:left w:val="none" w:sz="0" w:space="0" w:color="auto"/>
            <w:bottom w:val="none" w:sz="0" w:space="0" w:color="auto"/>
            <w:right w:val="none" w:sz="0" w:space="0" w:color="auto"/>
          </w:divBdr>
        </w:div>
      </w:divsChild>
    </w:div>
    <w:div w:id="1914391006">
      <w:bodyDiv w:val="1"/>
      <w:marLeft w:val="0"/>
      <w:marRight w:val="0"/>
      <w:marTop w:val="0"/>
      <w:marBottom w:val="0"/>
      <w:divBdr>
        <w:top w:val="none" w:sz="0" w:space="0" w:color="auto"/>
        <w:left w:val="none" w:sz="0" w:space="0" w:color="auto"/>
        <w:bottom w:val="none" w:sz="0" w:space="0" w:color="auto"/>
        <w:right w:val="none" w:sz="0" w:space="0" w:color="auto"/>
      </w:divBdr>
      <w:divsChild>
        <w:div w:id="358553618">
          <w:marLeft w:val="0"/>
          <w:marRight w:val="0"/>
          <w:marTop w:val="0"/>
          <w:marBottom w:val="0"/>
          <w:divBdr>
            <w:top w:val="none" w:sz="0" w:space="0" w:color="auto"/>
            <w:left w:val="none" w:sz="0" w:space="0" w:color="auto"/>
            <w:bottom w:val="none" w:sz="0" w:space="0" w:color="auto"/>
            <w:right w:val="none" w:sz="0" w:space="0" w:color="auto"/>
          </w:divBdr>
        </w:div>
      </w:divsChild>
    </w:div>
    <w:div w:id="2012372568">
      <w:bodyDiv w:val="1"/>
      <w:marLeft w:val="0"/>
      <w:marRight w:val="0"/>
      <w:marTop w:val="0"/>
      <w:marBottom w:val="0"/>
      <w:divBdr>
        <w:top w:val="none" w:sz="0" w:space="0" w:color="auto"/>
        <w:left w:val="none" w:sz="0" w:space="0" w:color="auto"/>
        <w:bottom w:val="none" w:sz="0" w:space="0" w:color="auto"/>
        <w:right w:val="none" w:sz="0" w:space="0" w:color="auto"/>
      </w:divBdr>
      <w:divsChild>
        <w:div w:id="1714882250">
          <w:marLeft w:val="0"/>
          <w:marRight w:val="0"/>
          <w:marTop w:val="0"/>
          <w:marBottom w:val="0"/>
          <w:divBdr>
            <w:top w:val="none" w:sz="0" w:space="0" w:color="auto"/>
            <w:left w:val="none" w:sz="0" w:space="0" w:color="auto"/>
            <w:bottom w:val="none" w:sz="0" w:space="0" w:color="auto"/>
            <w:right w:val="none" w:sz="0" w:space="0" w:color="auto"/>
          </w:divBdr>
        </w:div>
      </w:divsChild>
    </w:div>
    <w:div w:id="2022972607">
      <w:bodyDiv w:val="1"/>
      <w:marLeft w:val="0"/>
      <w:marRight w:val="0"/>
      <w:marTop w:val="0"/>
      <w:marBottom w:val="0"/>
      <w:divBdr>
        <w:top w:val="none" w:sz="0" w:space="0" w:color="auto"/>
        <w:left w:val="none" w:sz="0" w:space="0" w:color="auto"/>
        <w:bottom w:val="none" w:sz="0" w:space="0" w:color="auto"/>
        <w:right w:val="none" w:sz="0" w:space="0" w:color="auto"/>
      </w:divBdr>
      <w:divsChild>
        <w:div w:id="144049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5279</Words>
  <Characters>31149</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Lemrová, Adéla</dc:creator>
  <cp:keywords/>
  <dc:description/>
  <cp:lastModifiedBy>lenka.laiblova</cp:lastModifiedBy>
  <cp:revision>6</cp:revision>
  <dcterms:created xsi:type="dcterms:W3CDTF">2025-03-12T07:38:00Z</dcterms:created>
  <dcterms:modified xsi:type="dcterms:W3CDTF">2025-03-12T07:47:00Z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id="A6O0JynQ"/&gt;&lt;style id="http://www.zotero.org/styles/apa" locale="cs-CZ"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