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BC044" w14:textId="77777777" w:rsidR="00122F65" w:rsidRDefault="00122F65" w:rsidP="00554E8D">
      <w:pPr>
        <w:pStyle w:val="Nadpis1"/>
        <w:spacing w:before="0"/>
        <w:jc w:val="both"/>
      </w:pPr>
      <w:r>
        <w:t xml:space="preserve">Rozšířená tisková zpráva s grafy </w:t>
      </w:r>
    </w:p>
    <w:p w14:paraId="7C026637" w14:textId="77777777" w:rsidR="00122F65" w:rsidRDefault="00122F65" w:rsidP="00F52595">
      <w:pPr>
        <w:jc w:val="both"/>
        <w:rPr>
          <w:rFonts w:eastAsia="Times New Roman" w:cs="Times New Roman"/>
          <w:bCs/>
          <w:lang w:eastAsia="cs-CZ"/>
        </w:rPr>
      </w:pPr>
    </w:p>
    <w:p w14:paraId="55B09C3B" w14:textId="18099C9F" w:rsidR="004304F8" w:rsidRPr="00320127" w:rsidRDefault="004304F8" w:rsidP="004304F8">
      <w:pPr>
        <w:spacing w:line="240" w:lineRule="auto"/>
        <w:jc w:val="both"/>
        <w:rPr>
          <w:rFonts w:eastAsia="Times New Roman" w:cs="Times New Roman"/>
          <w:bCs/>
          <w:lang w:eastAsia="cs-CZ"/>
        </w:rPr>
      </w:pPr>
      <w:r w:rsidRPr="00320127">
        <w:rPr>
          <w:rFonts w:cs="Arial"/>
        </w:rPr>
        <w:t xml:space="preserve">V roce 2024 užívalo nikotin z různých typů výrobků denně </w:t>
      </w:r>
      <w:r w:rsidR="00FB7551">
        <w:rPr>
          <w:rFonts w:cs="Arial"/>
        </w:rPr>
        <w:t>přibližně čtvrtina respondentů (</w:t>
      </w:r>
      <w:r w:rsidRPr="00320127">
        <w:rPr>
          <w:rFonts w:cs="Arial"/>
        </w:rPr>
        <w:t>25,9 %</w:t>
      </w:r>
      <w:r w:rsidR="00FB7551">
        <w:rPr>
          <w:rFonts w:cs="Arial"/>
        </w:rPr>
        <w:t>)</w:t>
      </w:r>
      <w:r w:rsidRPr="00320127">
        <w:rPr>
          <w:rFonts w:cs="Arial"/>
        </w:rPr>
        <w:t xml:space="preserve"> starších 15 let. Pokud zahrneme i příležitostné uživatele, tedy ty, kteří neužívají nikotin denně, ale alespoň jednou měsíčně, jedná se o přibližně třetinu respondentů (33,8 %). </w:t>
      </w:r>
      <w:r w:rsidRPr="00320127">
        <w:t xml:space="preserve">Ve věkové kategorii 15-24 let užívá nikotin denně 41,6 % respondentů, pokud zahrneme i příležitostné uživatele, </w:t>
      </w:r>
      <w:r w:rsidR="00A9302C">
        <w:t>je to</w:t>
      </w:r>
      <w:r w:rsidRPr="00320127">
        <w:t xml:space="preserve"> </w:t>
      </w:r>
      <w:r w:rsidR="00A9302C">
        <w:t xml:space="preserve">přibližně </w:t>
      </w:r>
      <w:r w:rsidRPr="00320127">
        <w:t>polovin</w:t>
      </w:r>
      <w:r w:rsidR="00A9302C">
        <w:t>a</w:t>
      </w:r>
      <w:r w:rsidRPr="00320127">
        <w:t xml:space="preserve"> dotázaných (49,8 %). </w:t>
      </w:r>
      <w:r w:rsidR="00A9302C">
        <w:rPr>
          <w:rFonts w:eastAsia="Times New Roman" w:cs="Times New Roman"/>
          <w:bCs/>
          <w:lang w:eastAsia="cs-CZ"/>
        </w:rPr>
        <w:t>V případě konzumace alkoholu</w:t>
      </w:r>
      <w:r w:rsidR="00F52595" w:rsidRPr="00320127">
        <w:rPr>
          <w:rFonts w:eastAsia="Times New Roman" w:cs="Times New Roman"/>
          <w:bCs/>
          <w:lang w:eastAsia="cs-CZ"/>
        </w:rPr>
        <w:t xml:space="preserve">, zůstává Česká republika v mezinárodním měřítku mezi zeměmi s velmi vysokou spotřebou. Vyplývá to z výsledků </w:t>
      </w:r>
      <w:r w:rsidR="00A9302C">
        <w:rPr>
          <w:rFonts w:eastAsia="Times New Roman" w:cs="Times New Roman"/>
          <w:bCs/>
          <w:lang w:eastAsia="cs-CZ"/>
        </w:rPr>
        <w:t>Národního výzkumu</w:t>
      </w:r>
      <w:r w:rsidR="00F52595" w:rsidRPr="00320127">
        <w:rPr>
          <w:rFonts w:eastAsia="Times New Roman" w:cs="Times New Roman"/>
          <w:bCs/>
          <w:lang w:eastAsia="cs-CZ"/>
        </w:rPr>
        <w:t xml:space="preserve"> o užívání tabáku a alkoholu v České republi</w:t>
      </w:r>
      <w:r w:rsidR="00A9302C">
        <w:rPr>
          <w:rFonts w:eastAsia="Times New Roman" w:cs="Times New Roman"/>
          <w:bCs/>
          <w:lang w:eastAsia="cs-CZ"/>
        </w:rPr>
        <w:t>ce</w:t>
      </w:r>
      <w:r w:rsidR="00F52595" w:rsidRPr="00320127">
        <w:rPr>
          <w:rFonts w:eastAsia="Times New Roman" w:cs="Times New Roman"/>
          <w:bCs/>
          <w:lang w:eastAsia="cs-CZ"/>
        </w:rPr>
        <w:t xml:space="preserve"> (NAUTA), které každoročně uveřejňuje Státní zdravotní ústav u příležitosti Světového dne bez tabáku. Ten vyhlašuje Světová zdravotnická organizace  již od roku 1987 a </w:t>
      </w:r>
      <w:r w:rsidR="000443B6" w:rsidRPr="00320127">
        <w:rPr>
          <w:rFonts w:eastAsia="Times New Roman" w:cs="Times New Roman"/>
          <w:bCs/>
          <w:lang w:eastAsia="cs-CZ"/>
        </w:rPr>
        <w:t xml:space="preserve">každoročně </w:t>
      </w:r>
      <w:r w:rsidR="00F52595" w:rsidRPr="00320127">
        <w:rPr>
          <w:rFonts w:eastAsia="Times New Roman" w:cs="Times New Roman"/>
          <w:bCs/>
          <w:lang w:eastAsia="cs-CZ"/>
        </w:rPr>
        <w:t xml:space="preserve">připadá na </w:t>
      </w:r>
      <w:r w:rsidR="00102991">
        <w:rPr>
          <w:rFonts w:eastAsia="Times New Roman" w:cs="Times New Roman"/>
          <w:bCs/>
          <w:lang w:eastAsia="cs-CZ"/>
        </w:rPr>
        <w:t xml:space="preserve">                    </w:t>
      </w:r>
      <w:r w:rsidR="00F52595" w:rsidRPr="00320127">
        <w:rPr>
          <w:rFonts w:eastAsia="Times New Roman" w:cs="Times New Roman"/>
          <w:bCs/>
          <w:lang w:eastAsia="cs-CZ"/>
        </w:rPr>
        <w:t xml:space="preserve">31. května. </w:t>
      </w:r>
      <w:r w:rsidR="00F52595" w:rsidRPr="00320127">
        <w:rPr>
          <w:rFonts w:cs="Arial"/>
          <w:shd w:val="clear" w:color="auto" w:fill="FFFFFF"/>
        </w:rPr>
        <w:t xml:space="preserve">Tématem letošního </w:t>
      </w:r>
      <w:r w:rsidR="00E854DE" w:rsidRPr="00320127">
        <w:rPr>
          <w:rFonts w:cs="Arial"/>
          <w:shd w:val="clear" w:color="auto" w:fill="FFFFFF"/>
        </w:rPr>
        <w:t>mezinárodního dne</w:t>
      </w:r>
      <w:r w:rsidR="00F52595" w:rsidRPr="00320127">
        <w:rPr>
          <w:rFonts w:cs="Arial"/>
          <w:shd w:val="clear" w:color="auto" w:fill="FFFFFF"/>
        </w:rPr>
        <w:t xml:space="preserve"> je </w:t>
      </w:r>
      <w:r w:rsidRPr="00320127">
        <w:rPr>
          <w:b/>
        </w:rPr>
        <w:t>„Odhalení přitažlivosti: Odkrytí praktik průmyslu s tabákovými a nikotinovými výrobky“</w:t>
      </w:r>
      <w:r w:rsidRPr="00320127">
        <w:t>.</w:t>
      </w:r>
    </w:p>
    <w:p w14:paraId="1BF05B1A" w14:textId="65C0B050" w:rsidR="00F52595" w:rsidRPr="001C67ED" w:rsidRDefault="00F52595" w:rsidP="00F52595">
      <w:pPr>
        <w:jc w:val="both"/>
        <w:rPr>
          <w:rFonts w:eastAsia="Times New Roman" w:cs="Times New Roman"/>
          <w:bCs/>
          <w:lang w:eastAsia="cs-CZ"/>
        </w:rPr>
      </w:pPr>
      <w:bookmarkStart w:id="0" w:name="_GoBack"/>
      <w:bookmarkEnd w:id="0"/>
    </w:p>
    <w:p w14:paraId="021D13F2" w14:textId="03C86780" w:rsidR="00A42F45" w:rsidRPr="00753B02" w:rsidRDefault="001F71AA" w:rsidP="00A42F45">
      <w:pPr>
        <w:pStyle w:val="Nadpis2"/>
        <w:rPr>
          <w:sz w:val="22"/>
          <w:szCs w:val="22"/>
        </w:rPr>
      </w:pPr>
      <w:r w:rsidRPr="00753B02">
        <w:rPr>
          <w:sz w:val="22"/>
          <w:szCs w:val="22"/>
        </w:rPr>
        <w:t>Souhrn v</w:t>
      </w:r>
      <w:r w:rsidR="00700586" w:rsidRPr="00753B02">
        <w:rPr>
          <w:sz w:val="22"/>
          <w:szCs w:val="22"/>
        </w:rPr>
        <w:t>ýsledk</w:t>
      </w:r>
      <w:r w:rsidRPr="00753B02">
        <w:rPr>
          <w:sz w:val="22"/>
          <w:szCs w:val="22"/>
        </w:rPr>
        <w:t xml:space="preserve">ů </w:t>
      </w:r>
      <w:r w:rsidR="00A9302C">
        <w:rPr>
          <w:sz w:val="22"/>
          <w:szCs w:val="22"/>
        </w:rPr>
        <w:t>NAUTA</w:t>
      </w:r>
    </w:p>
    <w:p w14:paraId="518C0697" w14:textId="77777777" w:rsidR="006D68C5" w:rsidRPr="006D68C5" w:rsidRDefault="006D68C5" w:rsidP="00753B02">
      <w:pPr>
        <w:spacing w:line="240" w:lineRule="auto"/>
        <w:jc w:val="both"/>
        <w:rPr>
          <w:rFonts w:cs="Arial"/>
        </w:rPr>
      </w:pPr>
      <w:r w:rsidRPr="006D68C5">
        <w:rPr>
          <w:rFonts w:cs="Arial"/>
        </w:rPr>
        <w:t>Celkově lze v trendu kuřáctví tradičních tabákových výrobků od roku 2012 pozorovat statisticky významný pokles (p &lt; 0,001). V</w:t>
      </w:r>
      <w:r w:rsidRPr="006D68C5">
        <w:rPr>
          <w:rFonts w:eastAsia="Times New Roman" w:cs="Times New Roman"/>
          <w:bCs/>
          <w:lang w:eastAsia="cs-CZ"/>
        </w:rPr>
        <w:t> posledních třech letech se jejich počet ustálil na přibližně čtvrtině kuřáků. Naopak významně přibývá uživatelů alternativních výrobků ke kouření, jako jsou elektronické cigarety, zahřívaný tabák a nikotinové sáčky. Zejména mladí ve věku 15-24 let častěji sahají po alternativách.</w:t>
      </w:r>
    </w:p>
    <w:p w14:paraId="0A12A7B0" w14:textId="77777777" w:rsidR="001F71AA" w:rsidRPr="001C67ED" w:rsidRDefault="001F71AA" w:rsidP="001F71AA">
      <w:pPr>
        <w:rPr>
          <w:b/>
        </w:rPr>
      </w:pPr>
    </w:p>
    <w:p w14:paraId="52DB3EDC" w14:textId="2548C7E3" w:rsidR="005A2108" w:rsidRPr="001C67ED" w:rsidRDefault="005A2108" w:rsidP="005A2108">
      <w:pPr>
        <w:spacing w:after="120"/>
        <w:rPr>
          <w:b/>
        </w:rPr>
      </w:pPr>
      <w:r w:rsidRPr="001C67ED">
        <w:rPr>
          <w:b/>
        </w:rPr>
        <w:t>Kuřáci</w:t>
      </w:r>
      <w:r w:rsidR="008719EA" w:rsidRPr="001C67ED">
        <w:rPr>
          <w:b/>
        </w:rPr>
        <w:t xml:space="preserve"> </w:t>
      </w:r>
      <w:r w:rsidR="006D68C5">
        <w:rPr>
          <w:b/>
        </w:rPr>
        <w:t>tabáku</w:t>
      </w:r>
    </w:p>
    <w:p w14:paraId="51D34E33" w14:textId="3AC78800" w:rsidR="005A2108" w:rsidRDefault="00700586" w:rsidP="00753B02">
      <w:pPr>
        <w:spacing w:line="240" w:lineRule="auto"/>
        <w:jc w:val="both"/>
        <w:rPr>
          <w:rFonts w:eastAsia="Times New Roman" w:cs="Times New Roman"/>
          <w:lang w:eastAsia="cs-CZ"/>
        </w:rPr>
      </w:pPr>
      <w:r w:rsidRPr="00753B02">
        <w:rPr>
          <w:rFonts w:eastAsia="Times New Roman" w:cs="Times New Roman"/>
          <w:lang w:eastAsia="cs-CZ"/>
        </w:rPr>
        <w:t>V populaci České republiky bylo v roce 202</w:t>
      </w:r>
      <w:r w:rsidR="0024398C" w:rsidRPr="00753B02">
        <w:rPr>
          <w:rFonts w:eastAsia="Times New Roman" w:cs="Times New Roman"/>
          <w:lang w:eastAsia="cs-CZ"/>
        </w:rPr>
        <w:t>4</w:t>
      </w:r>
      <w:r w:rsidRPr="00753B02">
        <w:rPr>
          <w:rFonts w:eastAsia="Times New Roman" w:cs="Times New Roman"/>
          <w:lang w:eastAsia="cs-CZ"/>
        </w:rPr>
        <w:t xml:space="preserve"> celkem 2</w:t>
      </w:r>
      <w:r w:rsidR="00A9302C">
        <w:rPr>
          <w:rFonts w:eastAsia="Times New Roman" w:cs="Times New Roman"/>
          <w:lang w:eastAsia="cs-CZ"/>
        </w:rPr>
        <w:t>2</w:t>
      </w:r>
      <w:r w:rsidRPr="00753B02">
        <w:rPr>
          <w:rFonts w:eastAsia="Times New Roman" w:cs="Times New Roman"/>
          <w:lang w:eastAsia="cs-CZ"/>
        </w:rPr>
        <w:t>,</w:t>
      </w:r>
      <w:r w:rsidR="00A9302C">
        <w:rPr>
          <w:rFonts w:eastAsia="Times New Roman" w:cs="Times New Roman"/>
          <w:lang w:eastAsia="cs-CZ"/>
        </w:rPr>
        <w:t>4</w:t>
      </w:r>
      <w:r w:rsidRPr="00753B02">
        <w:rPr>
          <w:rFonts w:eastAsia="Times New Roman" w:cs="Times New Roman"/>
          <w:lang w:eastAsia="cs-CZ"/>
        </w:rPr>
        <w:t xml:space="preserve"> % kuřáků </w:t>
      </w:r>
      <w:r w:rsidR="003269A1" w:rsidRPr="00753B02">
        <w:rPr>
          <w:rFonts w:eastAsia="Times New Roman" w:cs="Times New Roman"/>
          <w:lang w:eastAsia="cs-CZ"/>
        </w:rPr>
        <w:t>tradičních</w:t>
      </w:r>
      <w:r w:rsidRPr="00753B02">
        <w:rPr>
          <w:rFonts w:eastAsia="Times New Roman" w:cs="Times New Roman"/>
          <w:lang w:eastAsia="cs-CZ"/>
        </w:rPr>
        <w:t xml:space="preserve"> druhů tabákových výrobků, které zahrnují cigarety (průmyslově vyráběné i ručně balené), dýmky, doutníky, doutníčky a vodní dýmky. </w:t>
      </w:r>
      <w:r w:rsidR="006D68C5" w:rsidRPr="00753B02">
        <w:rPr>
          <w:rFonts w:cs="Arial"/>
        </w:rPr>
        <w:t>Přibližně tři čtvrtiny současných kuřáků (16,4 %) tvoří denní kuřáci.</w:t>
      </w:r>
      <w:r w:rsidR="006D68C5" w:rsidRPr="00753B02">
        <w:rPr>
          <w:rFonts w:eastAsia="Times New Roman" w:cs="Times New Roman"/>
          <w:lang w:eastAsia="cs-CZ"/>
        </w:rPr>
        <w:t xml:space="preserve"> </w:t>
      </w:r>
      <w:r w:rsidRPr="00753B02">
        <w:rPr>
          <w:rFonts w:eastAsia="Times New Roman" w:cs="Times New Roman"/>
          <w:lang w:eastAsia="cs-CZ"/>
        </w:rPr>
        <w:t>Denně kouří</w:t>
      </w:r>
      <w:r w:rsidR="006D68C5" w:rsidRPr="00753B02">
        <w:rPr>
          <w:rFonts w:eastAsia="Times New Roman" w:cs="Times New Roman"/>
          <w:lang w:eastAsia="cs-CZ"/>
        </w:rPr>
        <w:t xml:space="preserve"> necelá</w:t>
      </w:r>
      <w:r w:rsidRPr="00753B02">
        <w:rPr>
          <w:rFonts w:eastAsia="Times New Roman" w:cs="Times New Roman"/>
          <w:lang w:eastAsia="cs-CZ"/>
        </w:rPr>
        <w:t xml:space="preserve"> </w:t>
      </w:r>
      <w:r w:rsidR="00826F9B" w:rsidRPr="00753B02">
        <w:rPr>
          <w:rFonts w:eastAsia="Times New Roman" w:cs="Times New Roman"/>
          <w:lang w:eastAsia="cs-CZ"/>
        </w:rPr>
        <w:t>pětina mužů (</w:t>
      </w:r>
      <w:r w:rsidR="006D68C5" w:rsidRPr="00753B02">
        <w:rPr>
          <w:rFonts w:eastAsia="Times New Roman" w:cs="Times New Roman"/>
          <w:lang w:eastAsia="cs-CZ"/>
        </w:rPr>
        <w:t>18</w:t>
      </w:r>
      <w:r w:rsidRPr="00753B02">
        <w:rPr>
          <w:rFonts w:eastAsia="Times New Roman" w:cs="Times New Roman"/>
          <w:lang w:eastAsia="cs-CZ"/>
        </w:rPr>
        <w:t>,</w:t>
      </w:r>
      <w:r w:rsidR="006D68C5" w:rsidRPr="00753B02">
        <w:rPr>
          <w:rFonts w:eastAsia="Times New Roman" w:cs="Times New Roman"/>
          <w:lang w:eastAsia="cs-CZ"/>
        </w:rPr>
        <w:t>6</w:t>
      </w:r>
      <w:r w:rsidR="00BA573B">
        <w:rPr>
          <w:rFonts w:eastAsia="Times New Roman" w:cs="Times New Roman"/>
          <w:lang w:eastAsia="cs-CZ"/>
        </w:rPr>
        <w:t> </w:t>
      </w:r>
      <w:r w:rsidRPr="00753B02">
        <w:rPr>
          <w:rFonts w:eastAsia="Times New Roman" w:cs="Times New Roman"/>
          <w:lang w:eastAsia="cs-CZ"/>
        </w:rPr>
        <w:t>%</w:t>
      </w:r>
      <w:r w:rsidR="00826F9B" w:rsidRPr="00753B02">
        <w:rPr>
          <w:rFonts w:eastAsia="Times New Roman" w:cs="Times New Roman"/>
          <w:lang w:eastAsia="cs-CZ"/>
        </w:rPr>
        <w:t xml:space="preserve">) </w:t>
      </w:r>
      <w:r w:rsidRPr="00753B02">
        <w:rPr>
          <w:rFonts w:eastAsia="Times New Roman" w:cs="Times New Roman"/>
          <w:lang w:eastAsia="cs-CZ"/>
        </w:rPr>
        <w:t>a 1</w:t>
      </w:r>
      <w:r w:rsidR="006D68C5" w:rsidRPr="00753B02">
        <w:rPr>
          <w:rFonts w:eastAsia="Times New Roman" w:cs="Times New Roman"/>
          <w:lang w:eastAsia="cs-CZ"/>
        </w:rPr>
        <w:t>4</w:t>
      </w:r>
      <w:r w:rsidRPr="00753B02">
        <w:rPr>
          <w:rFonts w:eastAsia="Times New Roman" w:cs="Times New Roman"/>
          <w:lang w:eastAsia="cs-CZ"/>
        </w:rPr>
        <w:t>,</w:t>
      </w:r>
      <w:r w:rsidR="006D68C5" w:rsidRPr="00753B02">
        <w:rPr>
          <w:rFonts w:eastAsia="Times New Roman" w:cs="Times New Roman"/>
          <w:lang w:eastAsia="cs-CZ"/>
        </w:rPr>
        <w:t>4</w:t>
      </w:r>
      <w:r w:rsidRPr="00753B02">
        <w:rPr>
          <w:rFonts w:eastAsia="Times New Roman" w:cs="Times New Roman"/>
          <w:lang w:eastAsia="cs-CZ"/>
        </w:rPr>
        <w:t xml:space="preserve"> % žen starších 15 let. </w:t>
      </w:r>
    </w:p>
    <w:p w14:paraId="3521B6CA" w14:textId="0F09766C" w:rsidR="00D8498F" w:rsidRDefault="00D8498F" w:rsidP="00D8498F">
      <w:pPr>
        <w:spacing w:before="120" w:after="120"/>
        <w:jc w:val="both"/>
        <w:rPr>
          <w:rFonts w:eastAsia="Arial Unicode MS" w:cs="Arial"/>
          <w:b/>
        </w:rPr>
      </w:pPr>
      <w:r w:rsidRPr="001C67ED">
        <w:rPr>
          <w:rFonts w:eastAsia="Arial Unicode MS" w:cs="Arial"/>
          <w:b/>
        </w:rPr>
        <w:t>Prevalence kuřáctví v ČR v letech 2012-202</w:t>
      </w:r>
      <w:r>
        <w:rPr>
          <w:rFonts w:eastAsia="Arial Unicode MS" w:cs="Arial"/>
          <w:b/>
        </w:rPr>
        <w:t>4</w:t>
      </w:r>
    </w:p>
    <w:p w14:paraId="696E3ECB" w14:textId="5142C30D" w:rsidR="00D8498F" w:rsidRDefault="00346607" w:rsidP="00D8498F">
      <w:pPr>
        <w:spacing w:after="120"/>
        <w:jc w:val="both"/>
        <w:rPr>
          <w:rFonts w:eastAsia="Arial Unicode MS" w:cs="Arial"/>
          <w:b/>
        </w:rPr>
      </w:pPr>
      <w:r>
        <w:rPr>
          <w:rFonts w:eastAsia="Arial Unicode MS" w:cs="Arial"/>
          <w:b/>
          <w:noProof/>
          <w:lang w:eastAsia="cs-CZ"/>
        </w:rPr>
        <w:drawing>
          <wp:inline distT="0" distB="0" distL="0" distR="0" wp14:anchorId="2FBD7BFC" wp14:editId="7CB545C6">
            <wp:extent cx="5121275" cy="2676525"/>
            <wp:effectExtent l="0" t="0" r="317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275" cy="267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6BE2AA" w14:textId="77777777" w:rsidR="00D8498F" w:rsidRPr="00446FFA" w:rsidRDefault="00D8498F" w:rsidP="00446FFA">
      <w:pPr>
        <w:spacing w:line="160" w:lineRule="atLeast"/>
        <w:jc w:val="both"/>
        <w:rPr>
          <w:rFonts w:eastAsia="Times New Roman" w:cs="Times New Roman"/>
          <w:color w:val="auto"/>
          <w:sz w:val="14"/>
          <w:szCs w:val="14"/>
          <w:lang w:eastAsia="cs-CZ"/>
        </w:rPr>
      </w:pPr>
      <w:r w:rsidRPr="00446FFA">
        <w:rPr>
          <w:rFonts w:eastAsia="Times New Roman" w:cs="Times New Roman"/>
          <w:color w:val="auto"/>
          <w:sz w:val="14"/>
          <w:szCs w:val="14"/>
          <w:lang w:eastAsia="cs-CZ"/>
        </w:rPr>
        <w:t xml:space="preserve">Pozn.: Graf zahrnuje kuřáky cigaret (jak průmyslově vyrobených, tak i ručně ubalených), dýmek, doutníků, doutníčků a vodních dýmek. </w:t>
      </w:r>
    </w:p>
    <w:p w14:paraId="56E36355" w14:textId="77777777" w:rsidR="00D8498F" w:rsidRPr="00D8498F" w:rsidRDefault="00D8498F" w:rsidP="00446FFA">
      <w:pPr>
        <w:spacing w:line="160" w:lineRule="atLeast"/>
        <w:jc w:val="both"/>
        <w:rPr>
          <w:rFonts w:eastAsia="Times New Roman" w:cs="Times New Roman"/>
          <w:sz w:val="14"/>
          <w:szCs w:val="14"/>
          <w:lang w:eastAsia="cs-CZ"/>
        </w:rPr>
      </w:pPr>
      <w:r w:rsidRPr="00446FFA">
        <w:rPr>
          <w:rFonts w:eastAsia="Times New Roman" w:cs="Times New Roman"/>
          <w:color w:val="auto"/>
          <w:sz w:val="14"/>
          <w:szCs w:val="14"/>
          <w:lang w:eastAsia="cs-CZ"/>
        </w:rPr>
        <w:t xml:space="preserve">Kuřáci tabákových </w:t>
      </w:r>
      <w:r w:rsidRPr="00D8498F">
        <w:rPr>
          <w:rFonts w:eastAsia="Times New Roman" w:cs="Times New Roman"/>
          <w:sz w:val="14"/>
          <w:szCs w:val="14"/>
          <w:lang w:eastAsia="cs-CZ"/>
        </w:rPr>
        <w:t>výrobků celkem (denní a příležitostní – tj. kouří méně často než denně, ale alespoň jednou měsíčně) a denní kuřáci.</w:t>
      </w:r>
    </w:p>
    <w:p w14:paraId="4E9494EA" w14:textId="77777777" w:rsidR="00D8498F" w:rsidRPr="00753B02" w:rsidRDefault="00D8498F" w:rsidP="00753B02">
      <w:pPr>
        <w:spacing w:line="240" w:lineRule="auto"/>
        <w:jc w:val="both"/>
        <w:rPr>
          <w:rFonts w:eastAsia="Times New Roman" w:cs="Times New Roman"/>
          <w:lang w:eastAsia="cs-CZ"/>
        </w:rPr>
      </w:pPr>
    </w:p>
    <w:p w14:paraId="62B11B45" w14:textId="60EA5A2D" w:rsidR="006D68C5" w:rsidRPr="00753B02" w:rsidRDefault="006D68C5" w:rsidP="00753B02">
      <w:pPr>
        <w:spacing w:before="120" w:line="240" w:lineRule="auto"/>
        <w:jc w:val="both"/>
        <w:rPr>
          <w:rFonts w:eastAsia="Times New Roman" w:cs="Times New Roman"/>
          <w:lang w:eastAsia="cs-CZ"/>
        </w:rPr>
      </w:pPr>
      <w:r w:rsidRPr="00753B02">
        <w:rPr>
          <w:rFonts w:eastAsia="Arial Unicode MS" w:cs="Arial"/>
        </w:rPr>
        <w:t>Od roku 2018 se prevalence kuřáctví tabákových výrobků podle věku postupně mění. Zatímco dříve byla nejvyšší v nejmladší věkové skupině 15‒24 let, v roce 2018 poprvé dosáhla nejvyšší hodnoty ve skupině 25‒44letých (35,2 %). Od roku 2022 však prevalence v nejmladší věkové skupině opět mírně roste</w:t>
      </w:r>
      <w:r w:rsidR="00017236">
        <w:rPr>
          <w:rFonts w:eastAsia="Arial Unicode MS" w:cs="Arial"/>
        </w:rPr>
        <w:t xml:space="preserve"> </w:t>
      </w:r>
      <w:r w:rsidRPr="00753B02">
        <w:rPr>
          <w:rFonts w:eastAsia="Arial Unicode MS" w:cs="Arial"/>
        </w:rPr>
        <w:t>a v letech 2023 a 2024 se nejmladší zase stali věkovou skupinou s největší prevalencí kuřáctví.</w:t>
      </w:r>
    </w:p>
    <w:p w14:paraId="04399538" w14:textId="77777777" w:rsidR="00054DB7" w:rsidRPr="00826F9B" w:rsidRDefault="00054DB7" w:rsidP="00753B02">
      <w:pPr>
        <w:spacing w:line="240" w:lineRule="auto"/>
        <w:jc w:val="both"/>
        <w:rPr>
          <w:rFonts w:eastAsia="Arial Unicode MS" w:cs="Arial"/>
          <w:color w:val="auto"/>
        </w:rPr>
      </w:pPr>
    </w:p>
    <w:p w14:paraId="42A1C4E7" w14:textId="77777777" w:rsidR="00D8498F" w:rsidRPr="00753B02" w:rsidRDefault="00D8498F" w:rsidP="00D8498F">
      <w:pPr>
        <w:spacing w:line="240" w:lineRule="auto"/>
        <w:jc w:val="both"/>
        <w:rPr>
          <w:rFonts w:eastAsia="Arial Unicode MS" w:cs="Arial"/>
        </w:rPr>
      </w:pPr>
      <w:r w:rsidRPr="00753B02">
        <w:rPr>
          <w:rFonts w:eastAsia="Times New Roman" w:cs="Times New Roman"/>
          <w:bCs/>
          <w:lang w:eastAsia="cs-CZ"/>
        </w:rPr>
        <w:t xml:space="preserve">Česká populace kouří převážně cigarety. Podíl jiných tabákových výrobků určených ke kouření je malý. </w:t>
      </w:r>
      <w:r w:rsidRPr="00753B02">
        <w:rPr>
          <w:rFonts w:eastAsia="Arial Unicode MS" w:cs="Arial"/>
        </w:rPr>
        <w:t>Zhruba pětina kuřáků (22,2 %) používá jiné tabákové výrobky určené ke kouření. Většinou se však jedná o kuřáky, kteří současně kouří i cigarety.</w:t>
      </w:r>
      <w:r w:rsidRPr="00753B02">
        <w:rPr>
          <w:rFonts w:eastAsia="Times New Roman" w:cs="Times New Roman"/>
          <w:bCs/>
          <w:lang w:eastAsia="cs-CZ"/>
        </w:rPr>
        <w:t xml:space="preserve"> </w:t>
      </w:r>
      <w:r w:rsidRPr="00753B02">
        <w:rPr>
          <w:rFonts w:eastAsia="Arial Unicode MS" w:cs="Arial"/>
        </w:rPr>
        <w:t>Z uvedených výrobků jsou stejně jako v předchozím roce nejčastěji zastoupeny vodní dýmky (11,6</w:t>
      </w:r>
      <w:r w:rsidRPr="00753B02">
        <w:t> </w:t>
      </w:r>
      <w:r w:rsidRPr="00753B02">
        <w:rPr>
          <w:rFonts w:eastAsia="Arial Unicode MS" w:cs="Arial"/>
        </w:rPr>
        <w:t>%).</w:t>
      </w:r>
    </w:p>
    <w:p w14:paraId="530BB56C" w14:textId="77777777" w:rsidR="00D8498F" w:rsidRPr="00753B02" w:rsidRDefault="00D8498F" w:rsidP="00D8498F">
      <w:pPr>
        <w:spacing w:before="120" w:line="240" w:lineRule="auto"/>
        <w:jc w:val="both"/>
        <w:rPr>
          <w:rFonts w:cs="Arial"/>
          <w:bCs/>
        </w:rPr>
      </w:pPr>
      <w:r w:rsidRPr="00753B02">
        <w:rPr>
          <w:rFonts w:eastAsia="Times New Roman" w:cs="Times New Roman"/>
          <w:bCs/>
          <w:lang w:eastAsia="cs-CZ"/>
        </w:rPr>
        <w:t xml:space="preserve">Denní kuřáci vykouří nejčastěji 15‒24 cigaret denně (28,9 %). Mezi denními kuřáky vykouří muži v průměru přibližně o 2 cigarety za den více než ženy. </w:t>
      </w:r>
      <w:r w:rsidRPr="00753B02">
        <w:rPr>
          <w:rFonts w:cs="Arial"/>
        </w:rPr>
        <w:t xml:space="preserve">Podíl kuřáků s denní spotřebou méně než 5 cigaret za den je vyšší u žen, zatímco spotřeba 25 a více cigaret denně je častější u mužů. Mezi lety 2023 a 2024 mírně klesl podíl silných kuřáků, kteří průměrně vykouří </w:t>
      </w:r>
      <w:r w:rsidRPr="00753B02">
        <w:rPr>
          <w:rFonts w:cs="Arial"/>
          <w:bCs/>
        </w:rPr>
        <w:t xml:space="preserve">25 a více cigaret denně (z 5,1 % na 4,4 %). Nejvyšší podíl těchto kuřáků byl v roce 2024 ve věkové kategorii </w:t>
      </w:r>
      <w:r w:rsidRPr="00753B02">
        <w:rPr>
          <w:rFonts w:cs="Arial"/>
        </w:rPr>
        <w:t>45‒64</w:t>
      </w:r>
      <w:r w:rsidRPr="00753B02">
        <w:rPr>
          <w:rFonts w:cs="Arial"/>
          <w:bCs/>
        </w:rPr>
        <w:t xml:space="preserve"> let (7,8 %), zatímco v roce 2023 převažovali v mladší věkové kategorii 25</w:t>
      </w:r>
      <w:r w:rsidRPr="00753B02">
        <w:rPr>
          <w:rFonts w:eastAsia="Arial Unicode MS" w:cs="Arial"/>
        </w:rPr>
        <w:t>‒</w:t>
      </w:r>
      <w:r w:rsidRPr="00753B02">
        <w:rPr>
          <w:rFonts w:cs="Arial"/>
          <w:bCs/>
        </w:rPr>
        <w:t>44 let.</w:t>
      </w:r>
    </w:p>
    <w:p w14:paraId="7170921E" w14:textId="77777777" w:rsidR="00753B02" w:rsidRDefault="00753B02" w:rsidP="000C262E">
      <w:pPr>
        <w:spacing w:after="120"/>
        <w:jc w:val="both"/>
        <w:rPr>
          <w:rFonts w:eastAsia="Arial Unicode MS" w:cs="Arial"/>
          <w:b/>
        </w:rPr>
      </w:pPr>
    </w:p>
    <w:p w14:paraId="7375DC0C" w14:textId="0AE500CC" w:rsidR="00700586" w:rsidRPr="001C67ED" w:rsidRDefault="00826F9B" w:rsidP="008B3D86">
      <w:pPr>
        <w:spacing w:after="120"/>
        <w:rPr>
          <w:b/>
        </w:rPr>
      </w:pPr>
      <w:r>
        <w:rPr>
          <w:b/>
        </w:rPr>
        <w:t>Elektronické</w:t>
      </w:r>
      <w:r w:rsidR="00700586" w:rsidRPr="001C67ED">
        <w:rPr>
          <w:b/>
        </w:rPr>
        <w:t xml:space="preserve"> cigarety</w:t>
      </w:r>
    </w:p>
    <w:p w14:paraId="386312FA" w14:textId="110A0AB6" w:rsidR="00753B02" w:rsidRDefault="00147A61" w:rsidP="00753B02">
      <w:pPr>
        <w:spacing w:line="240" w:lineRule="auto"/>
        <w:jc w:val="both"/>
        <w:rPr>
          <w:rFonts w:eastAsia="Arial Unicode MS" w:cs="Arial"/>
        </w:rPr>
      </w:pPr>
      <w:r w:rsidRPr="00753B02">
        <w:rPr>
          <w:rFonts w:eastAsia="Arial Unicode MS" w:cs="Arial"/>
        </w:rPr>
        <w:t>V roce 2024 užívalo elektronické cigarety alespoň jednou měsíčně 13,9</w:t>
      </w:r>
      <w:r w:rsidRPr="00753B02">
        <w:rPr>
          <w:rStyle w:val="hps"/>
          <w:rFonts w:cs="Arial"/>
        </w:rPr>
        <w:t> </w:t>
      </w:r>
      <w:r w:rsidRPr="00753B02">
        <w:rPr>
          <w:rFonts w:eastAsia="Arial Unicode MS" w:cs="Arial"/>
        </w:rPr>
        <w:t>% respondentů, což oproti roku 2023 (11,1 %) představuje nárůst o 2,8 p. b. Denní užívání elektronických cigaret uvedlo 8,9</w:t>
      </w:r>
      <w:r w:rsidRPr="00753B02">
        <w:rPr>
          <w:rStyle w:val="hps"/>
          <w:rFonts w:cs="Arial"/>
        </w:rPr>
        <w:t> </w:t>
      </w:r>
      <w:r w:rsidRPr="00753B02">
        <w:rPr>
          <w:rFonts w:eastAsia="Arial Unicode MS" w:cs="Arial"/>
        </w:rPr>
        <w:t xml:space="preserve">% osob, přičemž častěji se jednalo o ženy, než muže. </w:t>
      </w:r>
      <w:r w:rsidR="00700586" w:rsidRPr="00753B02">
        <w:rPr>
          <w:rFonts w:eastAsia="Times New Roman" w:cs="Times New Roman"/>
          <w:color w:val="auto"/>
          <w:lang w:eastAsia="cs-CZ"/>
        </w:rPr>
        <w:t xml:space="preserve"> </w:t>
      </w:r>
      <w:r w:rsidRPr="00753B02">
        <w:rPr>
          <w:rFonts w:eastAsia="Arial Unicode MS" w:cs="Arial"/>
        </w:rPr>
        <w:t xml:space="preserve">Největší podíl uživatelů elektronických cigaret se nachází ve věkové kategorii  15–24 let; s věkem jejich užívání klesá. </w:t>
      </w:r>
    </w:p>
    <w:p w14:paraId="5CB82D7A" w14:textId="60E536A1" w:rsidR="000C262E" w:rsidRPr="00147A61" w:rsidRDefault="00147A61" w:rsidP="00C2695C">
      <w:pPr>
        <w:spacing w:before="120" w:line="240" w:lineRule="auto"/>
        <w:jc w:val="both"/>
        <w:rPr>
          <w:rFonts w:eastAsia="Times New Roman" w:cs="Times New Roman"/>
          <w:bCs/>
          <w:color w:val="auto"/>
          <w:lang w:eastAsia="cs-CZ"/>
        </w:rPr>
      </w:pPr>
      <w:r w:rsidRPr="00753B02">
        <w:rPr>
          <w:rFonts w:eastAsia="Arial Unicode MS" w:cs="Arial"/>
        </w:rPr>
        <w:t>V meziročním srovnání došlo k nejvýraznějšímu nárůstu uživatelů ve skupině 25–44 let, a to o 5,5 procentních bodů (z 14,4 % v roce 2023 na 19,9 % v roce 2024). Nárůst podílu uživatelů však pozorujeme ve všech věkových skupinách, a to zejména v posledních třech letech</w:t>
      </w:r>
      <w:r w:rsidRPr="00147A61">
        <w:rPr>
          <w:rFonts w:eastAsia="Arial Unicode MS" w:cs="Arial"/>
        </w:rPr>
        <w:t>.</w:t>
      </w:r>
      <w:r w:rsidR="00E40772" w:rsidRPr="00147A61">
        <w:rPr>
          <w:rFonts w:eastAsia="Times New Roman" w:cs="Times New Roman"/>
          <w:bCs/>
          <w:color w:val="auto"/>
          <w:lang w:eastAsia="cs-CZ"/>
        </w:rPr>
        <w:t xml:space="preserve"> </w:t>
      </w:r>
    </w:p>
    <w:p w14:paraId="7ABB92E7" w14:textId="77777777" w:rsidR="000C262E" w:rsidRDefault="000C262E" w:rsidP="000C262E">
      <w:pPr>
        <w:jc w:val="both"/>
        <w:rPr>
          <w:rFonts w:eastAsia="Times New Roman" w:cs="Times New Roman"/>
          <w:bCs/>
          <w:color w:val="auto"/>
          <w:lang w:eastAsia="cs-CZ"/>
        </w:rPr>
      </w:pPr>
    </w:p>
    <w:p w14:paraId="26405016" w14:textId="69D395B0" w:rsidR="000C262E" w:rsidRDefault="00E40772" w:rsidP="000C262E">
      <w:pPr>
        <w:spacing w:after="120" w:line="240" w:lineRule="auto"/>
        <w:jc w:val="both"/>
        <w:rPr>
          <w:rFonts w:eastAsia="Arial Unicode MS" w:cs="Arial"/>
          <w:b/>
        </w:rPr>
      </w:pPr>
      <w:r w:rsidRPr="001C67ED">
        <w:rPr>
          <w:rFonts w:eastAsia="Arial Unicode MS" w:cs="Arial"/>
          <w:b/>
        </w:rPr>
        <w:t>Prevalence užívání elektronických cigaret v ČR v let</w:t>
      </w:r>
      <w:r w:rsidR="00102991">
        <w:rPr>
          <w:rFonts w:eastAsia="Arial Unicode MS" w:cs="Arial"/>
          <w:b/>
        </w:rPr>
        <w:t>ech 2013</w:t>
      </w:r>
      <w:r w:rsidRPr="001C67ED">
        <w:rPr>
          <w:rFonts w:eastAsia="Arial Unicode MS" w:cs="Arial"/>
          <w:b/>
        </w:rPr>
        <w:t>‒202</w:t>
      </w:r>
      <w:r w:rsidR="00147A61">
        <w:rPr>
          <w:rFonts w:eastAsia="Arial Unicode MS" w:cs="Arial"/>
          <w:b/>
        </w:rPr>
        <w:t>4</w:t>
      </w:r>
    </w:p>
    <w:p w14:paraId="295BC774" w14:textId="39B0253F" w:rsidR="000C262E" w:rsidRDefault="00346607" w:rsidP="000C262E">
      <w:pPr>
        <w:spacing w:line="240" w:lineRule="auto"/>
        <w:jc w:val="both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6590BE28" wp14:editId="408E99D4">
            <wp:extent cx="5005070" cy="2390140"/>
            <wp:effectExtent l="0" t="0" r="508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070" cy="239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2C7F47" w14:textId="59E9E12C" w:rsidR="00E40772" w:rsidRPr="00446FFA" w:rsidRDefault="00E40772" w:rsidP="00446FFA">
      <w:pPr>
        <w:spacing w:before="120" w:line="160" w:lineRule="atLeast"/>
        <w:jc w:val="both"/>
        <w:rPr>
          <w:rFonts w:eastAsia="Times New Roman" w:cs="Times New Roman"/>
          <w:color w:val="auto"/>
          <w:sz w:val="14"/>
          <w:szCs w:val="14"/>
          <w:lang w:eastAsia="cs-CZ"/>
        </w:rPr>
      </w:pPr>
      <w:r w:rsidRPr="00446FFA">
        <w:rPr>
          <w:rFonts w:eastAsia="Times New Roman" w:cs="Times New Roman"/>
          <w:color w:val="auto"/>
          <w:sz w:val="14"/>
          <w:szCs w:val="14"/>
          <w:lang w:eastAsia="cs-CZ"/>
        </w:rPr>
        <w:t xml:space="preserve">Pozn.: Graf zahrnuje uživatele elektronických cigaret celkem (denní a příležitostní </w:t>
      </w:r>
      <w:r w:rsidR="00824D6F" w:rsidRPr="00446FFA">
        <w:rPr>
          <w:rFonts w:eastAsia="Times New Roman" w:cs="Times New Roman"/>
          <w:color w:val="auto"/>
          <w:sz w:val="14"/>
          <w:szCs w:val="14"/>
          <w:lang w:eastAsia="cs-CZ"/>
        </w:rPr>
        <w:t>–</w:t>
      </w:r>
      <w:r w:rsidRPr="00446FFA">
        <w:rPr>
          <w:rFonts w:eastAsia="Times New Roman" w:cs="Times New Roman"/>
          <w:color w:val="auto"/>
          <w:sz w:val="14"/>
          <w:szCs w:val="14"/>
          <w:lang w:eastAsia="cs-CZ"/>
        </w:rPr>
        <w:t xml:space="preserve"> </w:t>
      </w:r>
      <w:r w:rsidR="004D225C" w:rsidRPr="00446FFA">
        <w:rPr>
          <w:rFonts w:eastAsia="Times New Roman" w:cs="Times New Roman"/>
          <w:color w:val="auto"/>
          <w:sz w:val="14"/>
          <w:szCs w:val="14"/>
          <w:lang w:eastAsia="cs-CZ"/>
        </w:rPr>
        <w:t xml:space="preserve">tj. </w:t>
      </w:r>
      <w:r w:rsidR="00824D6F" w:rsidRPr="00446FFA">
        <w:rPr>
          <w:rFonts w:eastAsia="Times New Roman" w:cs="Times New Roman"/>
          <w:color w:val="auto"/>
          <w:sz w:val="14"/>
          <w:szCs w:val="14"/>
          <w:lang w:eastAsia="cs-CZ"/>
        </w:rPr>
        <w:t xml:space="preserve">užívají </w:t>
      </w:r>
      <w:r w:rsidRPr="00446FFA">
        <w:rPr>
          <w:rFonts w:eastAsia="Times New Roman" w:cs="Times New Roman"/>
          <w:color w:val="auto"/>
          <w:sz w:val="14"/>
          <w:szCs w:val="14"/>
          <w:lang w:eastAsia="cs-CZ"/>
        </w:rPr>
        <w:t xml:space="preserve">méně často než denně, ale alespoň jednou měsíčně) </w:t>
      </w:r>
      <w:r w:rsidR="00102991">
        <w:rPr>
          <w:rFonts w:eastAsia="Times New Roman" w:cs="Times New Roman"/>
          <w:color w:val="auto"/>
          <w:sz w:val="14"/>
          <w:szCs w:val="14"/>
          <w:lang w:eastAsia="cs-CZ"/>
        </w:rPr>
        <w:t xml:space="preserve">                    </w:t>
      </w:r>
      <w:r w:rsidRPr="00446FFA">
        <w:rPr>
          <w:rFonts w:eastAsia="Times New Roman" w:cs="Times New Roman"/>
          <w:color w:val="auto"/>
          <w:sz w:val="14"/>
          <w:szCs w:val="14"/>
          <w:lang w:eastAsia="cs-CZ"/>
        </w:rPr>
        <w:t>a denní uživatele. Podíl denních uživatelů je sledován od r</w:t>
      </w:r>
      <w:r w:rsidR="001B3D7F" w:rsidRPr="00446FFA">
        <w:rPr>
          <w:rFonts w:eastAsia="Times New Roman" w:cs="Times New Roman"/>
          <w:color w:val="auto"/>
          <w:sz w:val="14"/>
          <w:szCs w:val="14"/>
          <w:lang w:eastAsia="cs-CZ"/>
        </w:rPr>
        <w:t>oku</w:t>
      </w:r>
      <w:r w:rsidRPr="00446FFA">
        <w:rPr>
          <w:rFonts w:eastAsia="Times New Roman" w:cs="Times New Roman"/>
          <w:color w:val="auto"/>
          <w:sz w:val="14"/>
          <w:szCs w:val="14"/>
          <w:lang w:eastAsia="cs-CZ"/>
        </w:rPr>
        <w:t xml:space="preserve"> 2019.</w:t>
      </w:r>
    </w:p>
    <w:p w14:paraId="7CE554F1" w14:textId="77777777" w:rsidR="000C262E" w:rsidRDefault="000C262E" w:rsidP="000C262E">
      <w:pPr>
        <w:jc w:val="both"/>
        <w:rPr>
          <w:rFonts w:eastAsia="Times New Roman" w:cs="Times New Roman"/>
          <w:bCs/>
          <w:color w:val="auto"/>
          <w:lang w:eastAsia="cs-CZ"/>
        </w:rPr>
      </w:pPr>
    </w:p>
    <w:p w14:paraId="51315D22" w14:textId="77777777" w:rsidR="000C262E" w:rsidRDefault="000C262E" w:rsidP="000C262E">
      <w:pPr>
        <w:jc w:val="both"/>
        <w:rPr>
          <w:rFonts w:eastAsia="Times New Roman" w:cs="Times New Roman"/>
          <w:bCs/>
          <w:color w:val="auto"/>
          <w:lang w:eastAsia="cs-CZ"/>
        </w:rPr>
      </w:pPr>
    </w:p>
    <w:p w14:paraId="7677039C" w14:textId="6404B633" w:rsidR="00147A61" w:rsidRPr="00753B02" w:rsidRDefault="00147A61" w:rsidP="00753B02">
      <w:pPr>
        <w:spacing w:line="240" w:lineRule="auto"/>
        <w:jc w:val="both"/>
        <w:rPr>
          <w:rFonts w:cs="Arial"/>
        </w:rPr>
      </w:pPr>
      <w:r w:rsidRPr="00753B02">
        <w:rPr>
          <w:rFonts w:cs="Arial"/>
        </w:rPr>
        <w:t>Čtyři z deseti (41,4 %) uživatelů elektronických cigaret uvádí, že současně kouří i klasické cigarety. Více než třetina (35,9</w:t>
      </w:r>
      <w:r w:rsidRPr="00753B02">
        <w:rPr>
          <w:rStyle w:val="hps"/>
          <w:rFonts w:cs="Arial"/>
        </w:rPr>
        <w:t> </w:t>
      </w:r>
      <w:r w:rsidR="00F26C55">
        <w:rPr>
          <w:rFonts w:cs="Arial"/>
        </w:rPr>
        <w:t>%) uživatelů jsou bývalými kuřáky</w:t>
      </w:r>
      <w:r w:rsidRPr="00753B02">
        <w:rPr>
          <w:rFonts w:cs="Arial"/>
        </w:rPr>
        <w:t xml:space="preserve"> klasických cigaret a 22,7</w:t>
      </w:r>
      <w:r w:rsidRPr="00753B02">
        <w:rPr>
          <w:rStyle w:val="hps"/>
          <w:rFonts w:cs="Arial"/>
        </w:rPr>
        <w:t> </w:t>
      </w:r>
      <w:r w:rsidRPr="00753B02">
        <w:rPr>
          <w:rFonts w:cs="Arial"/>
        </w:rPr>
        <w:t xml:space="preserve">% uživatelů před užíváním elektronických cigaret nikdy nekouřilo. </w:t>
      </w:r>
    </w:p>
    <w:p w14:paraId="75738542" w14:textId="25E6112B" w:rsidR="000C262E" w:rsidRPr="00753B02" w:rsidRDefault="000C262E" w:rsidP="00753B02">
      <w:pPr>
        <w:spacing w:line="240" w:lineRule="auto"/>
        <w:jc w:val="both"/>
        <w:rPr>
          <w:rFonts w:eastAsia="Times New Roman" w:cs="Times New Roman"/>
          <w:bCs/>
          <w:color w:val="auto"/>
          <w:lang w:eastAsia="cs-CZ"/>
        </w:rPr>
      </w:pPr>
      <w:r w:rsidRPr="00753B02">
        <w:rPr>
          <w:rFonts w:eastAsia="Times New Roman" w:cs="Times New Roman"/>
          <w:lang w:eastAsia="cs-CZ"/>
        </w:rPr>
        <w:t xml:space="preserve">Respondenti mohli uvést více důvodů, proč užívají elektronické cigarety. </w:t>
      </w:r>
      <w:r w:rsidR="00147A61" w:rsidRPr="00753B02">
        <w:rPr>
          <w:rFonts w:eastAsia="Times New Roman" w:cs="Times New Roman"/>
          <w:lang w:eastAsia="cs-CZ"/>
        </w:rPr>
        <w:t>N</w:t>
      </w:r>
      <w:r w:rsidR="00147A61" w:rsidRPr="00753B02">
        <w:rPr>
          <w:rFonts w:cs="Arial"/>
        </w:rPr>
        <w:t>ejčastějším důvodem je jejich příchuť, kterou uvedla téměř polovina uživatelů (43,8 %) napříč všemi věkovými kategoriemi. Dalšími důvody užívání jsou přesvědčení o jejich menší škodlivosti pro zdraví (29,5 %) a větší tolerance okolí k elektronickým cigaretám (27,1 %). Více než pětina uživatelů (23,5 %) vnímá užívání elektronických cigaret jako prostředek k ukončení nebo omezení kouření klasických cigaret a 8,4 % respondentů uvádí jako důvod užívání nižší cenu elektronických cigaret</w:t>
      </w:r>
      <w:r w:rsidRPr="00753B02">
        <w:rPr>
          <w:rFonts w:eastAsia="Times New Roman" w:cs="Times New Roman"/>
          <w:bCs/>
          <w:color w:val="auto"/>
          <w:lang w:eastAsia="cs-CZ"/>
        </w:rPr>
        <w:t>.</w:t>
      </w:r>
      <w:r w:rsidR="00147A61" w:rsidRPr="00753B02">
        <w:rPr>
          <w:rFonts w:eastAsia="Times New Roman" w:cs="Times New Roman"/>
          <w:bCs/>
          <w:color w:val="auto"/>
          <w:lang w:eastAsia="cs-CZ"/>
        </w:rPr>
        <w:t xml:space="preserve"> </w:t>
      </w:r>
      <w:r w:rsidR="00147A61" w:rsidRPr="00753B02">
        <w:rPr>
          <w:rFonts w:cs="Arial"/>
        </w:rPr>
        <w:t xml:space="preserve">Zatímco v roce 2023 uvedlo touhu experimentovat jako důvod užívání 14,9 % respondentů, v roce 2024 tento důvod uvedlo pouze 6,8 % uživatelů. </w:t>
      </w:r>
      <w:r w:rsidRPr="00753B02">
        <w:rPr>
          <w:rFonts w:eastAsia="Times New Roman" w:cs="Times New Roman"/>
          <w:bCs/>
          <w:color w:val="auto"/>
          <w:lang w:eastAsia="cs-CZ"/>
        </w:rPr>
        <w:t xml:space="preserve"> </w:t>
      </w:r>
    </w:p>
    <w:p w14:paraId="6C81A740" w14:textId="77777777" w:rsidR="000C262E" w:rsidRDefault="000C262E" w:rsidP="008B3D86">
      <w:pPr>
        <w:spacing w:after="120"/>
        <w:jc w:val="both"/>
        <w:rPr>
          <w:rFonts w:eastAsia="Times New Roman" w:cs="Times New Roman"/>
          <w:b/>
          <w:bCs/>
          <w:iCs/>
          <w:lang w:eastAsia="cs-CZ"/>
        </w:rPr>
      </w:pPr>
    </w:p>
    <w:p w14:paraId="285CACFD" w14:textId="3336D76C" w:rsidR="00700586" w:rsidRPr="001C67ED" w:rsidRDefault="00700586" w:rsidP="008B3D86">
      <w:pPr>
        <w:spacing w:after="120"/>
        <w:jc w:val="both"/>
        <w:rPr>
          <w:rFonts w:eastAsia="Times New Roman" w:cs="Times New Roman"/>
          <w:lang w:eastAsia="cs-CZ"/>
        </w:rPr>
      </w:pPr>
      <w:r w:rsidRPr="001C67ED">
        <w:rPr>
          <w:rFonts w:eastAsia="Times New Roman" w:cs="Times New Roman"/>
          <w:b/>
          <w:bCs/>
          <w:iCs/>
          <w:lang w:eastAsia="cs-CZ"/>
        </w:rPr>
        <w:t>Zahřívané tabákové výrobky</w:t>
      </w:r>
    </w:p>
    <w:p w14:paraId="74402672" w14:textId="3455AC34" w:rsidR="00700586" w:rsidRPr="00753B02" w:rsidRDefault="00FB7551" w:rsidP="00753B02">
      <w:pPr>
        <w:spacing w:line="240" w:lineRule="auto"/>
        <w:jc w:val="both"/>
        <w:rPr>
          <w:rFonts w:eastAsia="Times New Roman" w:cs="Times New Roman"/>
          <w:bCs/>
          <w:color w:val="auto"/>
          <w:lang w:eastAsia="cs-CZ"/>
        </w:rPr>
      </w:pPr>
      <w:r w:rsidRPr="00753B02">
        <w:rPr>
          <w:rFonts w:cs="Arial"/>
        </w:rPr>
        <w:t>Zahřívané tabákové výrobky v současné době užívá 5,3 % respondentů</w:t>
      </w:r>
      <w:r w:rsidR="00DB533C">
        <w:rPr>
          <w:rFonts w:cs="Arial"/>
        </w:rPr>
        <w:t>,</w:t>
      </w:r>
      <w:r w:rsidRPr="00753B02">
        <w:rPr>
          <w:rFonts w:cs="Arial"/>
        </w:rPr>
        <w:t xml:space="preserve"> což v porovnání s rokem 2023 (4,4 %) představuje nárůst o 0,9 procentního bodu</w:t>
      </w:r>
      <w:r w:rsidR="00DB533C">
        <w:rPr>
          <w:rFonts w:cs="Arial"/>
        </w:rPr>
        <w:t>.</w:t>
      </w:r>
      <w:r w:rsidRPr="00753B02">
        <w:rPr>
          <w:rFonts w:cs="Arial"/>
        </w:rPr>
        <w:t xml:space="preserve"> Denně </w:t>
      </w:r>
      <w:r w:rsidR="00DB533C">
        <w:rPr>
          <w:rFonts w:cs="Arial"/>
        </w:rPr>
        <w:t>tyto výrobky</w:t>
      </w:r>
      <w:r w:rsidRPr="00753B02">
        <w:rPr>
          <w:rFonts w:cs="Arial"/>
        </w:rPr>
        <w:t xml:space="preserve"> užívá 3,6 % respondentů, zatímco v roce 2023 to bylo 3,3 %. </w:t>
      </w:r>
      <w:r w:rsidRPr="00753B02">
        <w:t>Zahřívané tabákové výrobky jsou častěji užívány</w:t>
      </w:r>
      <w:r w:rsidRPr="00753B02">
        <w:rPr>
          <w:rFonts w:cs="Arial"/>
        </w:rPr>
        <w:t xml:space="preserve"> ženami. V meziročním srovnání pozorujeme nárůst jejich užívání ve věkových skupinách 15‒24 let, 25‒44 let a v nejstarší věkové skupině 65+ let. Ve věkové kategorii 45‒64 let zůstává podíl uživatelů přibližně stejný</w:t>
      </w:r>
      <w:r w:rsidR="00DB533C">
        <w:rPr>
          <w:rFonts w:cs="Arial"/>
        </w:rPr>
        <w:t>.</w:t>
      </w:r>
      <w:r w:rsidR="00824D6F" w:rsidRPr="00753B02">
        <w:rPr>
          <w:rFonts w:eastAsia="Times New Roman" w:cs="Times New Roman"/>
          <w:bCs/>
          <w:color w:val="auto"/>
          <w:lang w:eastAsia="cs-CZ"/>
        </w:rPr>
        <w:t xml:space="preserve"> </w:t>
      </w:r>
    </w:p>
    <w:p w14:paraId="56B06D6E" w14:textId="77777777" w:rsidR="00753B02" w:rsidRDefault="00753B02" w:rsidP="008B3D86">
      <w:pPr>
        <w:jc w:val="both"/>
        <w:rPr>
          <w:rFonts w:asciiTheme="minorHAnsi" w:eastAsia="Arial Unicode MS" w:hAnsiTheme="minorHAnsi" w:cs="Arial"/>
          <w:b/>
          <w:bCs/>
          <w:iCs/>
        </w:rPr>
      </w:pPr>
    </w:p>
    <w:p w14:paraId="35277487" w14:textId="5CFFA6D7" w:rsidR="00597EA0" w:rsidRPr="00753B02" w:rsidRDefault="00FB7551" w:rsidP="00753B02">
      <w:pPr>
        <w:spacing w:after="120" w:line="240" w:lineRule="auto"/>
        <w:jc w:val="both"/>
        <w:rPr>
          <w:rFonts w:eastAsia="Arial Unicode MS" w:cs="Arial"/>
          <w:b/>
        </w:rPr>
      </w:pPr>
      <w:r w:rsidRPr="00753B02">
        <w:rPr>
          <w:rFonts w:eastAsia="Arial Unicode MS" w:cs="Arial"/>
          <w:b/>
        </w:rPr>
        <w:t>Uživatelé zahřívaných tabákových výrobků v letech 2019-2024</w:t>
      </w:r>
    </w:p>
    <w:p w14:paraId="3D983440" w14:textId="0FA8A9F0" w:rsidR="00054DB7" w:rsidRDefault="00346607" w:rsidP="00A555B9">
      <w:pPr>
        <w:spacing w:after="120"/>
        <w:jc w:val="both"/>
        <w:rPr>
          <w:rFonts w:eastAsia="Times New Roman" w:cs="Times New Roman"/>
          <w:b/>
          <w:bCs/>
          <w:iCs/>
          <w:lang w:eastAsia="cs-CZ"/>
        </w:rPr>
      </w:pPr>
      <w:r>
        <w:rPr>
          <w:rFonts w:eastAsia="Times New Roman" w:cs="Times New Roman"/>
          <w:b/>
          <w:bCs/>
          <w:iCs/>
          <w:noProof/>
          <w:lang w:eastAsia="cs-CZ"/>
        </w:rPr>
        <w:drawing>
          <wp:inline distT="0" distB="0" distL="0" distR="0" wp14:anchorId="13D7C290" wp14:editId="666A1B5D">
            <wp:extent cx="5487035" cy="278638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278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221687" w14:textId="65AA7449" w:rsidR="00FB7551" w:rsidRPr="00446FFA" w:rsidRDefault="00FB7551" w:rsidP="00FB7551">
      <w:pPr>
        <w:spacing w:after="120" w:line="240" w:lineRule="auto"/>
        <w:rPr>
          <w:rFonts w:eastAsia="Times New Roman" w:cs="Times New Roman"/>
          <w:color w:val="auto"/>
          <w:sz w:val="14"/>
          <w:szCs w:val="14"/>
          <w:lang w:eastAsia="cs-CZ"/>
        </w:rPr>
      </w:pPr>
      <w:r w:rsidRPr="00446FFA">
        <w:rPr>
          <w:rFonts w:eastAsia="Times New Roman" w:cs="Times New Roman"/>
          <w:color w:val="auto"/>
          <w:sz w:val="14"/>
          <w:szCs w:val="14"/>
          <w:lang w:eastAsia="cs-CZ"/>
        </w:rPr>
        <w:t xml:space="preserve">Pozn.: Graf zahrnuje uživatele zahřívaných tabákových výrobků celkem (denní a příležitostní, tj. užívají zahřívané tabákové výrobky méně často </w:t>
      </w:r>
      <w:r w:rsidR="00102991">
        <w:rPr>
          <w:rFonts w:eastAsia="Times New Roman" w:cs="Times New Roman"/>
          <w:color w:val="auto"/>
          <w:sz w:val="14"/>
          <w:szCs w:val="14"/>
          <w:lang w:eastAsia="cs-CZ"/>
        </w:rPr>
        <w:t xml:space="preserve">               </w:t>
      </w:r>
      <w:r w:rsidRPr="00446FFA">
        <w:rPr>
          <w:rFonts w:eastAsia="Times New Roman" w:cs="Times New Roman"/>
          <w:color w:val="auto"/>
          <w:sz w:val="14"/>
          <w:szCs w:val="14"/>
          <w:lang w:eastAsia="cs-CZ"/>
        </w:rPr>
        <w:t>než denně, ale alespoň jednou měsíčně).</w:t>
      </w:r>
    </w:p>
    <w:p w14:paraId="736D77A9" w14:textId="062D619C" w:rsidR="00C2695C" w:rsidRDefault="00C2695C" w:rsidP="00A555B9">
      <w:pPr>
        <w:spacing w:after="120"/>
        <w:jc w:val="both"/>
        <w:rPr>
          <w:rFonts w:eastAsia="Times New Roman" w:cs="Times New Roman"/>
          <w:b/>
          <w:bCs/>
          <w:iCs/>
          <w:lang w:eastAsia="cs-CZ"/>
        </w:rPr>
      </w:pPr>
    </w:p>
    <w:p w14:paraId="16065FFC" w14:textId="77777777" w:rsidR="00F26C55" w:rsidRDefault="00F26C55" w:rsidP="00A555B9">
      <w:pPr>
        <w:spacing w:after="120"/>
        <w:jc w:val="both"/>
        <w:rPr>
          <w:rFonts w:eastAsia="Times New Roman" w:cs="Times New Roman"/>
          <w:b/>
          <w:bCs/>
          <w:iCs/>
          <w:lang w:eastAsia="cs-CZ"/>
        </w:rPr>
      </w:pPr>
    </w:p>
    <w:p w14:paraId="2D214202" w14:textId="77777777" w:rsidR="00F26C55" w:rsidRDefault="00F26C55" w:rsidP="00A555B9">
      <w:pPr>
        <w:spacing w:after="120"/>
        <w:jc w:val="both"/>
        <w:rPr>
          <w:rFonts w:eastAsia="Times New Roman" w:cs="Times New Roman"/>
          <w:b/>
          <w:bCs/>
          <w:iCs/>
          <w:lang w:eastAsia="cs-CZ"/>
        </w:rPr>
      </w:pPr>
    </w:p>
    <w:p w14:paraId="6B28B7FF" w14:textId="77777777" w:rsidR="00017236" w:rsidRDefault="00017236" w:rsidP="00A555B9">
      <w:pPr>
        <w:spacing w:after="120"/>
        <w:jc w:val="both"/>
        <w:rPr>
          <w:rFonts w:eastAsia="Times New Roman" w:cs="Times New Roman"/>
          <w:b/>
          <w:bCs/>
          <w:iCs/>
          <w:lang w:eastAsia="cs-CZ"/>
        </w:rPr>
      </w:pPr>
    </w:p>
    <w:p w14:paraId="288C1AC0" w14:textId="77777777" w:rsidR="00017236" w:rsidRDefault="00017236" w:rsidP="00A555B9">
      <w:pPr>
        <w:spacing w:after="120"/>
        <w:jc w:val="both"/>
        <w:rPr>
          <w:rFonts w:eastAsia="Times New Roman" w:cs="Times New Roman"/>
          <w:b/>
          <w:bCs/>
          <w:iCs/>
          <w:lang w:eastAsia="cs-CZ"/>
        </w:rPr>
      </w:pPr>
    </w:p>
    <w:p w14:paraId="5C0FE2CA" w14:textId="7F4FA2B0" w:rsidR="00700586" w:rsidRPr="00753B02" w:rsidRDefault="00700586" w:rsidP="00A555B9">
      <w:pPr>
        <w:spacing w:after="120"/>
        <w:jc w:val="both"/>
        <w:rPr>
          <w:rFonts w:eastAsia="Times New Roman" w:cs="Times New Roman"/>
          <w:b/>
          <w:bCs/>
          <w:iCs/>
          <w:lang w:eastAsia="cs-CZ"/>
        </w:rPr>
      </w:pPr>
      <w:r w:rsidRPr="00753B02">
        <w:rPr>
          <w:rFonts w:eastAsia="Times New Roman" w:cs="Times New Roman"/>
          <w:b/>
          <w:bCs/>
          <w:iCs/>
          <w:lang w:eastAsia="cs-CZ"/>
        </w:rPr>
        <w:t>Nikotinové sáčky</w:t>
      </w:r>
      <w:r w:rsidR="00A555B9" w:rsidRPr="00753B02">
        <w:rPr>
          <w:rFonts w:eastAsia="Times New Roman" w:cs="Times New Roman"/>
          <w:b/>
          <w:bCs/>
          <w:iCs/>
          <w:lang w:eastAsia="cs-CZ"/>
        </w:rPr>
        <w:t xml:space="preserve"> bez obsahu tabáku</w:t>
      </w:r>
    </w:p>
    <w:p w14:paraId="05355D23" w14:textId="074D1EE2" w:rsidR="00700586" w:rsidRPr="00753B02" w:rsidRDefault="00147A61" w:rsidP="00753B02">
      <w:pPr>
        <w:spacing w:line="240" w:lineRule="auto"/>
        <w:jc w:val="both"/>
        <w:rPr>
          <w:rFonts w:eastAsia="Times New Roman" w:cs="Times New Roman"/>
          <w:bCs/>
          <w:iCs/>
          <w:lang w:eastAsia="cs-CZ"/>
        </w:rPr>
      </w:pPr>
      <w:r w:rsidRPr="00753B02">
        <w:rPr>
          <w:rFonts w:cs="Arial"/>
        </w:rPr>
        <w:t>Otázka týkající se užívání nikotinových sáčků bez obsahu tabáku byla do dotazníku poprvé zařazena v roce 2020, kdy jejich užívání uvedlo 1,7 % respondentů. Nejnovější výsledky ukazují, že v roce 2024 nikotinové sáčky užívalo 4,9 % respondentů, přitom 2,5 % denně. Nikotinové sáčky užívají častěji muži než ženy. Nejvyšší podíl uživatelů nikotinových sáčků nacházíme u nejmladší věkové skupiny 15</w:t>
      </w:r>
      <w:r w:rsidRPr="00753B02">
        <w:rPr>
          <w:rFonts w:eastAsia="Arial Unicode MS" w:cs="Arial"/>
        </w:rPr>
        <w:t>‒</w:t>
      </w:r>
      <w:r w:rsidRPr="00753B02">
        <w:rPr>
          <w:rFonts w:cs="Arial"/>
        </w:rPr>
        <w:t>24 let, a to</w:t>
      </w:r>
      <w:r w:rsidRPr="00753B02">
        <w:t xml:space="preserve"> </w:t>
      </w:r>
      <w:r w:rsidRPr="00753B02">
        <w:rPr>
          <w:rFonts w:cs="Arial"/>
        </w:rPr>
        <w:t>15,4 %, přičemž denně je užívá 8,6 % respondentů. V porovnání s rokem 2023 došlo v této věkové skupině k nárůstu v užívání o 3,9 procentního bodu</w:t>
      </w:r>
      <w:r w:rsidR="00714938" w:rsidRPr="00753B02">
        <w:rPr>
          <w:rFonts w:eastAsia="Times New Roman" w:cs="Times New Roman"/>
          <w:bCs/>
          <w:iCs/>
          <w:lang w:eastAsia="cs-CZ"/>
        </w:rPr>
        <w:t xml:space="preserve">  </w:t>
      </w:r>
    </w:p>
    <w:p w14:paraId="69040894" w14:textId="77777777" w:rsidR="008B3D86" w:rsidRPr="001C67ED" w:rsidRDefault="008B3D86" w:rsidP="008B3D86">
      <w:pPr>
        <w:jc w:val="both"/>
        <w:rPr>
          <w:rFonts w:eastAsia="Times New Roman" w:cs="Times New Roman"/>
          <w:b/>
          <w:bCs/>
          <w:iCs/>
          <w:lang w:eastAsia="cs-CZ"/>
        </w:rPr>
      </w:pPr>
    </w:p>
    <w:p w14:paraId="55F517E1" w14:textId="483D3C9D" w:rsidR="001B5256" w:rsidRPr="00753B02" w:rsidRDefault="00147A61" w:rsidP="00753B02">
      <w:pPr>
        <w:spacing w:after="120" w:line="240" w:lineRule="auto"/>
        <w:jc w:val="both"/>
        <w:rPr>
          <w:rFonts w:eastAsia="Arial Unicode MS" w:cs="Arial"/>
          <w:b/>
        </w:rPr>
      </w:pPr>
      <w:r w:rsidRPr="00753B02">
        <w:rPr>
          <w:rFonts w:eastAsia="Arial Unicode MS" w:cs="Arial"/>
          <w:b/>
        </w:rPr>
        <w:t>Zastoupení uživatelů nikotinových sáčků bez obsahu tabáku podle věkových skupin</w:t>
      </w:r>
    </w:p>
    <w:p w14:paraId="7E99938F" w14:textId="4D1253D8" w:rsidR="001B5256" w:rsidRPr="001C67ED" w:rsidRDefault="00346607" w:rsidP="008B3D86">
      <w:pPr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790655C" wp14:editId="28CC9F91">
            <wp:extent cx="5304155" cy="25908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55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360FE7" w14:textId="5AE929D7" w:rsidR="001B5256" w:rsidRPr="00446FFA" w:rsidRDefault="001B5256" w:rsidP="00446FFA">
      <w:pPr>
        <w:spacing w:after="120" w:line="240" w:lineRule="auto"/>
        <w:rPr>
          <w:rFonts w:eastAsia="Times New Roman" w:cs="Times New Roman"/>
          <w:color w:val="auto"/>
          <w:sz w:val="14"/>
          <w:szCs w:val="14"/>
          <w:lang w:eastAsia="cs-CZ"/>
        </w:rPr>
      </w:pPr>
      <w:r w:rsidRPr="00446FFA">
        <w:rPr>
          <w:rFonts w:eastAsia="Times New Roman" w:cs="Times New Roman"/>
          <w:color w:val="auto"/>
          <w:sz w:val="14"/>
          <w:szCs w:val="14"/>
          <w:lang w:eastAsia="cs-CZ"/>
        </w:rPr>
        <w:t xml:space="preserve">Pozn.: Graf zahrnuje uživatele nikotinových sáčků celkem (denní a příležitostní </w:t>
      </w:r>
      <w:r w:rsidR="00A555B9" w:rsidRPr="00446FFA">
        <w:rPr>
          <w:rFonts w:eastAsia="Times New Roman" w:cs="Times New Roman"/>
          <w:color w:val="auto"/>
          <w:sz w:val="14"/>
          <w:szCs w:val="14"/>
          <w:lang w:eastAsia="cs-CZ"/>
        </w:rPr>
        <w:t xml:space="preserve">– </w:t>
      </w:r>
      <w:r w:rsidR="004D225C" w:rsidRPr="00446FFA">
        <w:rPr>
          <w:rFonts w:eastAsia="Times New Roman" w:cs="Times New Roman"/>
          <w:color w:val="auto"/>
          <w:sz w:val="14"/>
          <w:szCs w:val="14"/>
          <w:lang w:eastAsia="cs-CZ"/>
        </w:rPr>
        <w:t xml:space="preserve">tj. </w:t>
      </w:r>
      <w:r w:rsidR="00A555B9" w:rsidRPr="00446FFA">
        <w:rPr>
          <w:rFonts w:eastAsia="Times New Roman" w:cs="Times New Roman"/>
          <w:color w:val="auto"/>
          <w:sz w:val="14"/>
          <w:szCs w:val="14"/>
          <w:lang w:eastAsia="cs-CZ"/>
        </w:rPr>
        <w:t xml:space="preserve">užívají </w:t>
      </w:r>
      <w:r w:rsidRPr="00446FFA">
        <w:rPr>
          <w:rFonts w:eastAsia="Times New Roman" w:cs="Times New Roman"/>
          <w:color w:val="auto"/>
          <w:sz w:val="14"/>
          <w:szCs w:val="14"/>
          <w:lang w:eastAsia="cs-CZ"/>
        </w:rPr>
        <w:t>méně často než den</w:t>
      </w:r>
      <w:r w:rsidR="00F909DF">
        <w:rPr>
          <w:rFonts w:eastAsia="Times New Roman" w:cs="Times New Roman"/>
          <w:color w:val="auto"/>
          <w:sz w:val="14"/>
          <w:szCs w:val="14"/>
          <w:lang w:eastAsia="cs-CZ"/>
        </w:rPr>
        <w:t>ně, ale alespoň jednou měsíčně).</w:t>
      </w:r>
    </w:p>
    <w:p w14:paraId="012E881F" w14:textId="77777777" w:rsidR="00733C81" w:rsidRPr="001C67ED" w:rsidRDefault="00733C81" w:rsidP="008B3D86">
      <w:pPr>
        <w:jc w:val="both"/>
        <w:rPr>
          <w:rFonts w:cs="Arial"/>
        </w:rPr>
      </w:pPr>
    </w:p>
    <w:p w14:paraId="6522584F" w14:textId="214DEA66" w:rsidR="00FB7551" w:rsidRPr="00753B02" w:rsidRDefault="00FB7551" w:rsidP="00753B02">
      <w:pPr>
        <w:spacing w:line="240" w:lineRule="auto"/>
        <w:jc w:val="both"/>
      </w:pPr>
      <w:r w:rsidRPr="00753B02">
        <w:rPr>
          <w:rFonts w:eastAsia="Arial Unicode MS" w:cs="Arial"/>
        </w:rPr>
        <w:t xml:space="preserve">Více než </w:t>
      </w:r>
      <w:r w:rsidRPr="00753B02">
        <w:t>třetina (34,6 %) současných kuřáků se v roce 2024 pokusila přestat kouřit, což představuje výrazný nárůst oproti roku 2023 (20,7 %). Častěji se o odvykání pokoušeli muži (36,8 %) než ženy (31,9 %). V nejmladší věkové skupině 15–24 let se o zanechání kouření pokusila polovina současných kuřáků</w:t>
      </w:r>
      <w:r w:rsidR="00F26C55">
        <w:t xml:space="preserve"> </w:t>
      </w:r>
      <w:r w:rsidRPr="00753B02">
        <w:t>(50,0 %), ale s rostoucím věkem toto úsilí klesá. Nejvyšší snahu přestat kouřit projevili respondenti s vysokoškolským a středoškolským vzděláním. V roce 2024 jsme poprvé sledovali také snahu uživatelů elektronických cigaret o odvykání. Přestat s užíváním se pokoušela více než čtvrtina uživatelů elektronických cigaret (27,1 %), přičemž nejvyšší podíl byl opět mezi nejmladšími uživateli (37,</w:t>
      </w:r>
      <w:r w:rsidRPr="00753B02">
        <w:rPr>
          <w:rFonts w:eastAsia="Arial Unicode MS" w:cs="Arial"/>
        </w:rPr>
        <w:t>3 %).</w:t>
      </w:r>
    </w:p>
    <w:p w14:paraId="1940730C" w14:textId="4D2A26E1" w:rsidR="008719EA" w:rsidRPr="00753B02" w:rsidRDefault="008719EA" w:rsidP="00753B02">
      <w:pPr>
        <w:spacing w:line="240" w:lineRule="auto"/>
        <w:jc w:val="both"/>
      </w:pPr>
    </w:p>
    <w:p w14:paraId="386129EE" w14:textId="7DA1BE81" w:rsidR="00A555B9" w:rsidRPr="00985629" w:rsidRDefault="00A555B9" w:rsidP="00753B02">
      <w:pPr>
        <w:spacing w:line="240" w:lineRule="auto"/>
        <w:jc w:val="both"/>
        <w:rPr>
          <w:rFonts w:cs="Arial"/>
          <w:i/>
        </w:rPr>
      </w:pPr>
      <w:r w:rsidRPr="00753B02">
        <w:rPr>
          <w:rFonts w:cs="Arial"/>
          <w:i/>
        </w:rPr>
        <w:t>„</w:t>
      </w:r>
      <w:r w:rsidRPr="00985629">
        <w:rPr>
          <w:rFonts w:cs="Arial"/>
          <w:i/>
        </w:rPr>
        <w:t xml:space="preserve">Z výsledků </w:t>
      </w:r>
      <w:r w:rsidR="00FB7551" w:rsidRPr="00985629">
        <w:rPr>
          <w:rFonts w:cs="Arial"/>
          <w:i/>
        </w:rPr>
        <w:t>šetření</w:t>
      </w:r>
      <w:r w:rsidRPr="00985629">
        <w:rPr>
          <w:rFonts w:cs="Arial"/>
          <w:i/>
        </w:rPr>
        <w:t xml:space="preserve"> vyplývá, že nikotin obsažený v tabákových a nikotinových výrobcích užívá</w:t>
      </w:r>
      <w:r w:rsidR="00FB7551" w:rsidRPr="00985629">
        <w:rPr>
          <w:rFonts w:cs="Arial"/>
          <w:i/>
        </w:rPr>
        <w:t xml:space="preserve"> </w:t>
      </w:r>
      <w:r w:rsidR="0029788E" w:rsidRPr="00985629">
        <w:rPr>
          <w:rFonts w:cs="Arial"/>
          <w:i/>
        </w:rPr>
        <w:t>denně přibližně čtvrtina</w:t>
      </w:r>
      <w:r w:rsidR="003D0584" w:rsidRPr="00985629">
        <w:rPr>
          <w:rFonts w:cs="Arial"/>
          <w:i/>
        </w:rPr>
        <w:t xml:space="preserve"> </w:t>
      </w:r>
      <w:r w:rsidRPr="00985629">
        <w:rPr>
          <w:rFonts w:cs="Arial"/>
          <w:i/>
        </w:rPr>
        <w:t>(2</w:t>
      </w:r>
      <w:r w:rsidR="0029788E" w:rsidRPr="00985629">
        <w:rPr>
          <w:rFonts w:cs="Arial"/>
          <w:i/>
        </w:rPr>
        <w:t>5</w:t>
      </w:r>
      <w:r w:rsidRPr="00985629">
        <w:rPr>
          <w:rFonts w:cs="Arial"/>
          <w:i/>
        </w:rPr>
        <w:t>,</w:t>
      </w:r>
      <w:r w:rsidR="0029788E" w:rsidRPr="00985629">
        <w:rPr>
          <w:rFonts w:cs="Arial"/>
          <w:i/>
        </w:rPr>
        <w:t xml:space="preserve">9 </w:t>
      </w:r>
      <w:r w:rsidRPr="00985629">
        <w:rPr>
          <w:rFonts w:cs="Arial"/>
          <w:i/>
        </w:rPr>
        <w:t>%)</w:t>
      </w:r>
      <w:r w:rsidR="0029788E" w:rsidRPr="00985629">
        <w:rPr>
          <w:rFonts w:cs="Arial"/>
          <w:i/>
        </w:rPr>
        <w:t xml:space="preserve"> respondentů starších 15 let</w:t>
      </w:r>
      <w:r w:rsidRPr="00985629">
        <w:rPr>
          <w:rFonts w:cs="Arial"/>
          <w:i/>
        </w:rPr>
        <w:t xml:space="preserve">. S věkem jeho užívání klesá. </w:t>
      </w:r>
      <w:r w:rsidRPr="00985629">
        <w:rPr>
          <w:i/>
        </w:rPr>
        <w:t xml:space="preserve">Nikotin v mozku stimuluje </w:t>
      </w:r>
      <w:r w:rsidRPr="00985629">
        <w:rPr>
          <w:rStyle w:val="Siln"/>
          <w:b w:val="0"/>
          <w:i/>
        </w:rPr>
        <w:t>centrum odměny a uvolnění hormonu dopaminu, který krátkodobě způsobuje zlepšení nálady</w:t>
      </w:r>
      <w:r w:rsidRPr="00985629">
        <w:rPr>
          <w:rStyle w:val="Siln"/>
          <w:i/>
        </w:rPr>
        <w:t xml:space="preserve"> </w:t>
      </w:r>
      <w:r w:rsidRPr="00985629">
        <w:rPr>
          <w:rStyle w:val="Siln"/>
          <w:b w:val="0"/>
          <w:i/>
        </w:rPr>
        <w:t>a koncentrace.</w:t>
      </w:r>
      <w:r w:rsidRPr="00985629">
        <w:rPr>
          <w:i/>
        </w:rPr>
        <w:t xml:space="preserve">  </w:t>
      </w:r>
      <w:r w:rsidR="00985629" w:rsidRPr="00985629">
        <w:rPr>
          <w:i/>
          <w:color w:val="000000"/>
        </w:rPr>
        <w:t xml:space="preserve">Při dlouhodobém užívání způsobuje poruchy nálady a zvýšenou impulzivitu. Nikotin také mění způsob spojení neuronů v mozku, a tím může poškodit ty části, které kontrolují pozornost a učení. Přibližně do 25 let se mozek stále vyvíjí, proto je pro něj nikotin tak škodlivý a může způsobit jeho dlouhodobé poškození. </w:t>
      </w:r>
      <w:r w:rsidRPr="00985629">
        <w:rPr>
          <w:i/>
        </w:rPr>
        <w:t xml:space="preserve">Užívání nikotinu má vliv nejen na </w:t>
      </w:r>
      <w:r w:rsidR="00BA573B">
        <w:rPr>
          <w:i/>
        </w:rPr>
        <w:t>kardiovaskulární</w:t>
      </w:r>
      <w:r w:rsidRPr="00985629">
        <w:rPr>
          <w:i/>
        </w:rPr>
        <w:t xml:space="preserve"> systém, kdy dochází ke stažení </w:t>
      </w:r>
      <w:r w:rsidRPr="00985629">
        <w:rPr>
          <w:i/>
        </w:rPr>
        <w:lastRenderedPageBreak/>
        <w:t>cév, zvýšení tlaku a zrychlení srdeční akce ale ovlivňuje také trávicí systém tak, že stimuluje trávení</w:t>
      </w:r>
      <w:r w:rsidR="00BA573B">
        <w:rPr>
          <w:i/>
        </w:rPr>
        <w:t xml:space="preserve"> </w:t>
      </w:r>
      <w:r w:rsidRPr="00985629">
        <w:rPr>
          <w:i/>
        </w:rPr>
        <w:t>a zrychluje pohyb střev. Nikotin je návykový a j</w:t>
      </w:r>
      <w:r w:rsidRPr="00985629">
        <w:rPr>
          <w:rStyle w:val="Siln"/>
          <w:b w:val="0"/>
          <w:i/>
        </w:rPr>
        <w:t xml:space="preserve">eho </w:t>
      </w:r>
      <w:r w:rsidRPr="00985629">
        <w:rPr>
          <w:i/>
        </w:rPr>
        <w:t>pravidelné užívání vede k rozvoji závislosti. Po jeho vysazení dochází k</w:t>
      </w:r>
      <w:r w:rsidR="00824D6F" w:rsidRPr="00985629">
        <w:rPr>
          <w:i/>
        </w:rPr>
        <w:t> </w:t>
      </w:r>
      <w:r w:rsidRPr="00985629">
        <w:rPr>
          <w:i/>
        </w:rPr>
        <w:t>rozvoji</w:t>
      </w:r>
      <w:r w:rsidR="00824D6F" w:rsidRPr="00985629">
        <w:rPr>
          <w:i/>
        </w:rPr>
        <w:t xml:space="preserve"> </w:t>
      </w:r>
      <w:r w:rsidRPr="00985629">
        <w:rPr>
          <w:i/>
        </w:rPr>
        <w:t>abstinenčních příznaků, které se projevují chutí a myšlenkami na cigaretu či jiný produkt obsahující nikotin, zhoršeným soustředěním, napětím, výkyvy nálad nebo zvýšenou chutí k</w:t>
      </w:r>
      <w:r w:rsidR="00985629" w:rsidRPr="00985629">
        <w:rPr>
          <w:i/>
        </w:rPr>
        <w:t> </w:t>
      </w:r>
      <w:r w:rsidRPr="00985629">
        <w:rPr>
          <w:i/>
        </w:rPr>
        <w:t>jídlu</w:t>
      </w:r>
      <w:r w:rsidR="00985629" w:rsidRPr="00985629">
        <w:rPr>
          <w:i/>
        </w:rPr>
        <w:t xml:space="preserve">. </w:t>
      </w:r>
      <w:r w:rsidR="00985629" w:rsidRPr="00985629">
        <w:rPr>
          <w:i/>
          <w:color w:val="000000"/>
        </w:rPr>
        <w:t>Při užívání výrobků s vysokým obsahem nikotinu může (především u dětí a mladistvých) velmi snadno dojít k akutní otravě nikotinem (projevuje se bledostí, studeným potem, nevolností, zvracením, bolestí hlavy</w:t>
      </w:r>
      <w:r w:rsidR="00BA573B">
        <w:rPr>
          <w:i/>
          <w:color w:val="000000"/>
        </w:rPr>
        <w:t xml:space="preserve"> </w:t>
      </w:r>
      <w:r w:rsidR="00985629" w:rsidRPr="00985629">
        <w:rPr>
          <w:i/>
          <w:color w:val="000000"/>
        </w:rPr>
        <w:t>a dojít může k závratím a mdlobám)</w:t>
      </w:r>
      <w:r w:rsidRPr="00985629">
        <w:rPr>
          <w:i/>
        </w:rPr>
        <w:t>“.</w:t>
      </w:r>
    </w:p>
    <w:p w14:paraId="5F26CDA3" w14:textId="77777777" w:rsidR="0029788E" w:rsidRDefault="0029788E" w:rsidP="008B3D86">
      <w:pPr>
        <w:spacing w:after="120"/>
        <w:rPr>
          <w:b/>
        </w:rPr>
      </w:pPr>
    </w:p>
    <w:p w14:paraId="624FA4DA" w14:textId="0B185673" w:rsidR="00700586" w:rsidRPr="001C67ED" w:rsidRDefault="008719EA" w:rsidP="008B3D86">
      <w:pPr>
        <w:spacing w:after="120"/>
        <w:rPr>
          <w:b/>
        </w:rPr>
      </w:pPr>
      <w:r w:rsidRPr="001C67ED">
        <w:rPr>
          <w:b/>
        </w:rPr>
        <w:t>Užívání alkoholu</w:t>
      </w:r>
    </w:p>
    <w:p w14:paraId="55017E7F" w14:textId="10BC17FE" w:rsidR="0029788E" w:rsidRPr="00753B02" w:rsidRDefault="008719EA" w:rsidP="00753B02">
      <w:pPr>
        <w:spacing w:line="240" w:lineRule="auto"/>
        <w:jc w:val="both"/>
      </w:pPr>
      <w:r w:rsidRPr="00753B02">
        <w:rPr>
          <w:rFonts w:cs="Arial"/>
        </w:rPr>
        <w:t xml:space="preserve">Pití alkoholu má silný vztah ke kouření tabáku. </w:t>
      </w:r>
      <w:r w:rsidR="0029788E" w:rsidRPr="00753B02">
        <w:rPr>
          <w:rFonts w:cs="Arial"/>
        </w:rPr>
        <w:t xml:space="preserve">Výsledky dokládají </w:t>
      </w:r>
      <w:r w:rsidR="0029788E" w:rsidRPr="00753B02">
        <w:t>vyšší prevalenci kuřáctví u osob rizikově a škodlivě konzumujících alkohol. Mezi abstinenty je výskyt kuřáctví nižší, než je populační průměr. Ve skupině se škodlivou spotřebou alkoholu byl podíl kuřáků 48,1 %. Ve srovnání s umírněnými konzumenty je míra kuřáctví mezi muži i ženami v kategorii škodlivého pití řádově vyšší, u mužů o 21,5 procentních bodů, u žen dokonce o 36,5 procentních bodů. Z hlediska věkových kategorií je spojitost rizikového</w:t>
      </w:r>
      <w:r w:rsidR="00BA573B">
        <w:t xml:space="preserve"> </w:t>
      </w:r>
      <w:r w:rsidR="0029788E" w:rsidRPr="00753B02">
        <w:t>a škodlivého pití s kouřením silná v celém věkovém pásmu od 15 let a výše. Epidemiologické studie přiřazují kouření podíl na roční úmrtnosti 16 %, alkoholu pak 6 až 7 %. Souběh kouření s nadměrným příjmem alkoholu zdravotní rizika ještě zvyšuje. Zdravotníci by měli na tato rizika upozorňovat i přesto, že by se mohlo zdát, že jsou tato rizika v povědomí široké veřejnosti dobře známa. Upozorňování na zdravotní rizika, podložená výzkumnými daty, může motivovat ke změně chování.</w:t>
      </w:r>
    </w:p>
    <w:p w14:paraId="5D8D2D6E" w14:textId="7A8ED800" w:rsidR="00707E7B" w:rsidRDefault="00707E7B" w:rsidP="00A555B9">
      <w:pPr>
        <w:spacing w:before="120"/>
        <w:jc w:val="both"/>
        <w:rPr>
          <w:rFonts w:cs="Arial"/>
        </w:rPr>
      </w:pPr>
    </w:p>
    <w:p w14:paraId="61763F8E" w14:textId="1CDDB2E2" w:rsidR="00707E7B" w:rsidRDefault="00707E7B" w:rsidP="00A555B9">
      <w:pPr>
        <w:spacing w:before="120"/>
        <w:jc w:val="both"/>
        <w:rPr>
          <w:rFonts w:eastAsia="Times New Roman" w:cs="Times New Roman"/>
          <w:b/>
          <w:bCs/>
          <w:iCs/>
          <w:lang w:eastAsia="cs-CZ"/>
        </w:rPr>
      </w:pPr>
      <w:r w:rsidRPr="00707E7B">
        <w:rPr>
          <w:rFonts w:eastAsia="Times New Roman" w:cs="Times New Roman"/>
          <w:b/>
          <w:bCs/>
          <w:iCs/>
          <w:lang w:eastAsia="cs-CZ"/>
        </w:rPr>
        <w:t>Podíl současných kuřáků tabáku v závislosti na kategorii pití alkoholu</w:t>
      </w:r>
      <w:r>
        <w:rPr>
          <w:rFonts w:eastAsia="Times New Roman" w:cs="Times New Roman"/>
          <w:b/>
          <w:bCs/>
          <w:iCs/>
          <w:lang w:eastAsia="cs-CZ"/>
        </w:rPr>
        <w:t xml:space="preserve"> (rok 202</w:t>
      </w:r>
      <w:r w:rsidR="008A6E3F">
        <w:rPr>
          <w:rFonts w:eastAsia="Times New Roman" w:cs="Times New Roman"/>
          <w:b/>
          <w:bCs/>
          <w:iCs/>
          <w:lang w:eastAsia="cs-CZ"/>
        </w:rPr>
        <w:t>4</w:t>
      </w:r>
      <w:r>
        <w:rPr>
          <w:rFonts w:eastAsia="Times New Roman" w:cs="Times New Roman"/>
          <w:b/>
          <w:bCs/>
          <w:iCs/>
          <w:lang w:eastAsia="cs-CZ"/>
        </w:rPr>
        <w:t>)</w:t>
      </w:r>
    </w:p>
    <w:p w14:paraId="035C8266" w14:textId="01BE74AB" w:rsidR="008A6E3F" w:rsidRPr="00707E7B" w:rsidRDefault="00346607" w:rsidP="00A555B9">
      <w:pPr>
        <w:spacing w:before="120"/>
        <w:jc w:val="both"/>
        <w:rPr>
          <w:rFonts w:eastAsia="Times New Roman" w:cs="Times New Roman"/>
          <w:b/>
          <w:bCs/>
          <w:iCs/>
          <w:lang w:eastAsia="cs-CZ"/>
        </w:rPr>
      </w:pPr>
      <w:r>
        <w:rPr>
          <w:rFonts w:eastAsia="Times New Roman" w:cs="Times New Roman"/>
          <w:b/>
          <w:bCs/>
          <w:iCs/>
          <w:noProof/>
          <w:lang w:eastAsia="cs-CZ"/>
        </w:rPr>
        <w:drawing>
          <wp:inline distT="0" distB="0" distL="0" distR="0" wp14:anchorId="757D7BE3" wp14:editId="64468DE5">
            <wp:extent cx="4913630" cy="2499360"/>
            <wp:effectExtent l="0" t="0" r="127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249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8C13F5" w14:textId="6002B073" w:rsidR="008719EA" w:rsidRPr="00C2695C" w:rsidRDefault="00A0186C" w:rsidP="00446FFA">
      <w:pPr>
        <w:spacing w:after="120" w:line="240" w:lineRule="auto"/>
        <w:rPr>
          <w:rFonts w:eastAsia="Times New Roman" w:cs="Times New Roman"/>
          <w:color w:val="auto"/>
          <w:sz w:val="14"/>
          <w:szCs w:val="14"/>
          <w:lang w:eastAsia="cs-CZ"/>
        </w:rPr>
      </w:pPr>
      <w:r w:rsidRPr="00C2695C">
        <w:rPr>
          <w:rFonts w:eastAsia="Times New Roman" w:cs="Times New Roman"/>
          <w:color w:val="auto"/>
          <w:sz w:val="14"/>
          <w:szCs w:val="14"/>
          <w:lang w:eastAsia="cs-CZ"/>
        </w:rPr>
        <w:t xml:space="preserve">Pozn.: Jako umírněné pití je definován průměrný denní příjem alkoholu do 40 g u mužů a do 20 g u žen. Za rizikové pití se považuje denní příjem 40 až 60 g pro muže a 20 až 40 g pro ženy a za škodlivé pití průměrná denní spotřeba více než 60 g u mužů a 40 g u žen. </w:t>
      </w:r>
    </w:p>
    <w:p w14:paraId="7255AB75" w14:textId="34E1758C" w:rsidR="007A4A0B" w:rsidRDefault="007A4A0B" w:rsidP="00A555B9">
      <w:pPr>
        <w:spacing w:after="120" w:line="240" w:lineRule="auto"/>
        <w:jc w:val="both"/>
        <w:rPr>
          <w:rFonts w:cs="Arial"/>
          <w:b/>
        </w:rPr>
      </w:pPr>
    </w:p>
    <w:p w14:paraId="1A9E5C3C" w14:textId="77777777" w:rsidR="00C2695C" w:rsidRDefault="00C2695C" w:rsidP="001C67ED">
      <w:pPr>
        <w:jc w:val="both"/>
      </w:pPr>
    </w:p>
    <w:p w14:paraId="6E3EF6E0" w14:textId="5DC646FE" w:rsidR="001C67ED" w:rsidRDefault="001C67ED" w:rsidP="001C67ED">
      <w:pPr>
        <w:jc w:val="both"/>
      </w:pPr>
      <w:r w:rsidRPr="008719EA">
        <w:t>Údaje výzkumu byly z</w:t>
      </w:r>
      <w:r w:rsidR="00753B02">
        <w:t>ískány od výběrového souboru 1809</w:t>
      </w:r>
      <w:r w:rsidRPr="008719EA">
        <w:t xml:space="preserve"> jedinců. Výzkum je reprezentativní pro obyvatelstvo České republiky ve věku nad 15 let z hlediska věku, pohlaví a regionální příslušnosti.</w:t>
      </w:r>
    </w:p>
    <w:sectPr w:rsidR="001C67ED" w:rsidSect="009A4D8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552" w:right="1134" w:bottom="2268" w:left="1134" w:header="119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EF11A" w14:textId="77777777" w:rsidR="00544402" w:rsidRDefault="00544402" w:rsidP="00D62483">
      <w:r>
        <w:separator/>
      </w:r>
    </w:p>
  </w:endnote>
  <w:endnote w:type="continuationSeparator" w:id="0">
    <w:p w14:paraId="325F0B80" w14:textId="77777777" w:rsidR="00544402" w:rsidRDefault="00544402" w:rsidP="00D6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ulish">
    <w:altName w:val="Calibri"/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Public Sans">
    <w:panose1 w:val="00000000000000000000"/>
    <w:charset w:val="00"/>
    <w:family w:val="auto"/>
    <w:notTrueType/>
    <w:pitch w:val="variable"/>
    <w:sig w:usb0="20000007" w:usb1="00000000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B4194" w14:textId="77777777" w:rsidR="00023160" w:rsidRDefault="000231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C6D24" w14:textId="77777777" w:rsidR="005B6F48" w:rsidRDefault="005B6F48" w:rsidP="002845DE">
    <w:pPr>
      <w:pStyle w:val="Zpat"/>
      <w:jc w:val="center"/>
      <w:rPr>
        <w:rFonts w:cs="Minion Pro"/>
        <w:b/>
        <w:bCs/>
        <w:color w:val="005984"/>
        <w:sz w:val="15"/>
        <w:szCs w:val="15"/>
      </w:rPr>
    </w:pPr>
  </w:p>
  <w:p w14:paraId="06BE6134" w14:textId="77777777" w:rsidR="005B6F48" w:rsidRDefault="005B6F48" w:rsidP="002845DE">
    <w:pPr>
      <w:pStyle w:val="Zpat"/>
      <w:jc w:val="center"/>
      <w:rPr>
        <w:rFonts w:cs="Minion Pro"/>
        <w:b/>
        <w:bCs/>
        <w:color w:val="005984"/>
        <w:sz w:val="15"/>
        <w:szCs w:val="15"/>
      </w:rPr>
    </w:pPr>
  </w:p>
  <w:p w14:paraId="1E1AFBB9" w14:textId="0EA34DEC" w:rsidR="005B6F48" w:rsidRDefault="000A70E6" w:rsidP="005B6F48">
    <w:pPr>
      <w:pStyle w:val="Zpat"/>
      <w:jc w:val="center"/>
      <w:rPr>
        <w:rFonts w:cs="Minion Pro"/>
        <w:b/>
        <w:bCs/>
        <w:color w:val="005984"/>
        <w:sz w:val="15"/>
        <w:szCs w:val="15"/>
      </w:rPr>
    </w:pPr>
    <w:r>
      <w:rPr>
        <w:rFonts w:cs="Minion Pro"/>
        <w:b/>
        <w:bCs/>
        <w:noProof/>
        <w:color w:val="005984"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F10D22" wp14:editId="5F80D9FD">
              <wp:simplePos x="0" y="0"/>
              <wp:positionH relativeFrom="column">
                <wp:posOffset>-15620</wp:posOffset>
              </wp:positionH>
              <wp:positionV relativeFrom="paragraph">
                <wp:posOffset>94399</wp:posOffset>
              </wp:positionV>
              <wp:extent cx="6100577" cy="7936"/>
              <wp:effectExtent l="0" t="0" r="0" b="0"/>
              <wp:wrapSquare wrapText="bothSides"/>
              <wp:docPr id="38" name="Obdélník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0577" cy="7936"/>
                      </a:xfrm>
                      <a:prstGeom prst="rect">
                        <a:avLst/>
                      </a:prstGeom>
                      <a:solidFill>
                        <a:srgbClr val="00598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E641BE7" id="Obdélník 38" o:spid="_x0000_s1026" style="position:absolute;margin-left:-1.25pt;margin-top:7.45pt;width:480.35pt;height: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" fillcolor="#005984" stroked="f" strokeweight="1pt">
              <w10:wrap type="square"/>
            </v:rect>
          </w:pict>
        </mc:Fallback>
      </mc:AlternateContent>
    </w:r>
  </w:p>
  <w:p w14:paraId="4192EE65" w14:textId="15376F07" w:rsidR="00861B49" w:rsidRPr="006F4AEE" w:rsidRDefault="00023160" w:rsidP="006F4AEE">
    <w:pPr>
      <w:pStyle w:val="Zpat"/>
      <w:jc w:val="center"/>
      <w:rPr>
        <w:rFonts w:cs="Minion Pro"/>
        <w:color w:val="005984"/>
        <w:sz w:val="15"/>
        <w:szCs w:val="15"/>
      </w:rPr>
    </w:pPr>
    <w:r w:rsidRPr="0032422F">
      <w:rPr>
        <w:rFonts w:cs="Minion Pro"/>
        <w:b/>
        <w:bCs/>
        <w:color w:val="005984"/>
        <w:sz w:val="15"/>
        <w:szCs w:val="15"/>
      </w:rPr>
      <w:t>Státní zdravotní ústav</w:t>
    </w:r>
    <w:r w:rsidRPr="00450EDF">
      <w:rPr>
        <w:rFonts w:cs="Minion Pro"/>
        <w:color w:val="005984"/>
        <w:sz w:val="15"/>
        <w:szCs w:val="15"/>
      </w:rPr>
      <w:t xml:space="preserve">, </w:t>
    </w:r>
    <w:r w:rsidR="006943CA" w:rsidRPr="006943CA">
      <w:rPr>
        <w:rFonts w:cs="Minion Pro"/>
        <w:color w:val="005984"/>
        <w:sz w:val="15"/>
        <w:szCs w:val="15"/>
      </w:rPr>
      <w:t>Šrobárova 49/48, 100 00 Praha 10-Vinohrady</w:t>
    </w:r>
    <w:r w:rsidRPr="00450EDF">
      <w:rPr>
        <w:rFonts w:cs="Minion Pro"/>
        <w:color w:val="005984"/>
        <w:sz w:val="15"/>
        <w:szCs w:val="15"/>
      </w:rPr>
      <w:t>, Česká republika, Tel.: +420 267 081 111,</w:t>
    </w:r>
    <w:r w:rsidR="006F4AEE">
      <w:rPr>
        <w:rFonts w:cs="Minion Pro"/>
        <w:color w:val="005984"/>
        <w:sz w:val="15"/>
        <w:szCs w:val="15"/>
      </w:rPr>
      <w:t xml:space="preserve"> </w:t>
    </w:r>
    <w:r w:rsidRPr="00450EDF">
      <w:rPr>
        <w:rFonts w:cs="Minion Pro"/>
        <w:color w:val="005984"/>
        <w:sz w:val="15"/>
        <w:szCs w:val="15"/>
      </w:rPr>
      <w:t xml:space="preserve">E-mail: zdravust@szu.cz </w:t>
    </w:r>
    <w:hyperlink r:id="rId1" w:history="1">
      <w:r w:rsidRPr="00506942">
        <w:rPr>
          <w:rStyle w:val="Hypertextovodkaz"/>
          <w:rFonts w:cs="Minion Pro"/>
          <w:b/>
          <w:bCs/>
          <w:color w:val="005984"/>
          <w:sz w:val="15"/>
          <w:szCs w:val="15"/>
        </w:rPr>
        <w:t>www.szu.cz</w:t>
      </w:r>
    </w:hyperlink>
    <w:r>
      <w:rPr>
        <w:rFonts w:cs="Minion Pro"/>
        <w:b/>
        <w:bCs/>
        <w:color w:val="005984"/>
        <w:sz w:val="15"/>
        <w:szCs w:val="15"/>
      </w:rPr>
      <w:t xml:space="preserve">, </w:t>
    </w:r>
    <w:r w:rsidRPr="00861B49">
      <w:rPr>
        <w:rFonts w:cs="Minion Pro"/>
        <w:color w:val="005984"/>
        <w:sz w:val="15"/>
        <w:szCs w:val="15"/>
      </w:rPr>
      <w:t>IČO:</w:t>
    </w:r>
    <w:r>
      <w:rPr>
        <w:rFonts w:cs="Minion Pro"/>
        <w:color w:val="005984"/>
        <w:sz w:val="15"/>
        <w:szCs w:val="15"/>
      </w:rPr>
      <w:t xml:space="preserve"> 75010330, č. účtu: 1730101/0710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C33DD" w14:textId="77777777" w:rsidR="00023160" w:rsidRDefault="000231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181B9" w14:textId="77777777" w:rsidR="00544402" w:rsidRDefault="00544402" w:rsidP="00D62483">
      <w:r>
        <w:separator/>
      </w:r>
    </w:p>
  </w:footnote>
  <w:footnote w:type="continuationSeparator" w:id="0">
    <w:p w14:paraId="36440AAB" w14:textId="77777777" w:rsidR="00544402" w:rsidRDefault="00544402" w:rsidP="00D62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8257B" w14:textId="77777777" w:rsidR="00023160" w:rsidRDefault="000231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3F76C" w14:textId="3ADDF6F5" w:rsidR="00E54835" w:rsidRPr="001A44BC" w:rsidRDefault="009D2890" w:rsidP="00356434">
    <w:pPr>
      <w:pStyle w:val="hlavickaadresaSZ"/>
      <w:tabs>
        <w:tab w:val="center" w:pos="4820"/>
      </w:tabs>
      <w:jc w:val="left"/>
    </w:pPr>
    <w:r w:rsidRPr="009D2890">
      <w:rPr>
        <w:b/>
        <w:bCs/>
        <w:noProof/>
        <w:sz w:val="28"/>
        <w:szCs w:val="28"/>
        <w:lang w:eastAsia="cs-CZ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33D0835" wp14:editId="7D997A82">
              <wp:simplePos x="0" y="0"/>
              <wp:positionH relativeFrom="column">
                <wp:posOffset>1990090</wp:posOffset>
              </wp:positionH>
              <wp:positionV relativeFrom="paragraph">
                <wp:posOffset>101600</wp:posOffset>
              </wp:positionV>
              <wp:extent cx="2148840" cy="1404620"/>
              <wp:effectExtent l="0" t="0" r="381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88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1619D5" w14:textId="5A808F11" w:rsidR="009D2890" w:rsidRPr="009D2890" w:rsidRDefault="009D2890">
                          <w:pPr>
                            <w:rPr>
                              <w:color w:val="005984"/>
                            </w:rPr>
                          </w:pPr>
                          <w:r w:rsidRPr="009D2890">
                            <w:rPr>
                              <w:b/>
                              <w:bCs/>
                              <w:color w:val="005984"/>
                              <w:sz w:val="28"/>
                              <w:szCs w:val="28"/>
                            </w:rPr>
                            <w:t>Státní zdravotní ústav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33D083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56.7pt;margin-top:8pt;width:169.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" stroked="f">
              <v:textbox style="mso-fit-shape-to-text:t">
                <w:txbxContent>
                  <w:p w14:paraId="2D1619D5" w14:textId="5A808F11" w:rsidR="009D2890" w:rsidRPr="009D2890" w:rsidRDefault="009D2890">
                    <w:pPr>
                      <w:rPr>
                        <w:color w:val="005984"/>
                      </w:rPr>
                    </w:pPr>
                    <w:r w:rsidRPr="009D2890">
                      <w:rPr>
                        <w:b/>
                        <w:bCs/>
                        <w:color w:val="005984"/>
                        <w:sz w:val="28"/>
                        <w:szCs w:val="28"/>
                      </w:rPr>
                      <w:t>Státní zdravotní ústav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54835" w:rsidRPr="004120FA">
      <w:rPr>
        <w:noProof/>
        <w:lang w:eastAsia="cs-CZ"/>
      </w:rPr>
      <w:drawing>
        <wp:anchor distT="0" distB="0" distL="114300" distR="114300" simplePos="0" relativeHeight="251657216" behindDoc="0" locked="0" layoutInCell="1" allowOverlap="0" wp14:anchorId="275F7568" wp14:editId="5F8AD08C">
          <wp:simplePos x="0" y="0"/>
          <wp:positionH relativeFrom="leftMargin">
            <wp:posOffset>390525</wp:posOffset>
          </wp:positionH>
          <wp:positionV relativeFrom="topMargin">
            <wp:posOffset>233680</wp:posOffset>
          </wp:positionV>
          <wp:extent cx="1626021" cy="1619250"/>
          <wp:effectExtent l="0" t="0" r="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021" cy="161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F6D1F" w14:textId="77777777" w:rsidR="00023160" w:rsidRDefault="000231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14174"/>
    <w:multiLevelType w:val="multilevel"/>
    <w:tmpl w:val="6226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35"/>
    <w:rsid w:val="00014252"/>
    <w:rsid w:val="00017236"/>
    <w:rsid w:val="00023160"/>
    <w:rsid w:val="000443B6"/>
    <w:rsid w:val="00054DB7"/>
    <w:rsid w:val="00057A99"/>
    <w:rsid w:val="00080E77"/>
    <w:rsid w:val="000A70E6"/>
    <w:rsid w:val="000C04B1"/>
    <w:rsid w:val="000C262E"/>
    <w:rsid w:val="000F1CA0"/>
    <w:rsid w:val="00102991"/>
    <w:rsid w:val="00122F65"/>
    <w:rsid w:val="00123847"/>
    <w:rsid w:val="00131FF8"/>
    <w:rsid w:val="00147A61"/>
    <w:rsid w:val="00151063"/>
    <w:rsid w:val="0015411D"/>
    <w:rsid w:val="00154525"/>
    <w:rsid w:val="001A44BC"/>
    <w:rsid w:val="001B3D7F"/>
    <w:rsid w:val="001B5256"/>
    <w:rsid w:val="001C67ED"/>
    <w:rsid w:val="001F5180"/>
    <w:rsid w:val="001F71AA"/>
    <w:rsid w:val="00203B5D"/>
    <w:rsid w:val="00210972"/>
    <w:rsid w:val="0024398C"/>
    <w:rsid w:val="002845DE"/>
    <w:rsid w:val="0029788E"/>
    <w:rsid w:val="002F70D4"/>
    <w:rsid w:val="00300DBB"/>
    <w:rsid w:val="00314D52"/>
    <w:rsid w:val="00320127"/>
    <w:rsid w:val="00320385"/>
    <w:rsid w:val="0032370A"/>
    <w:rsid w:val="0032422F"/>
    <w:rsid w:val="003269A1"/>
    <w:rsid w:val="003358F1"/>
    <w:rsid w:val="00346607"/>
    <w:rsid w:val="00356434"/>
    <w:rsid w:val="0036259F"/>
    <w:rsid w:val="00380C5D"/>
    <w:rsid w:val="00382532"/>
    <w:rsid w:val="00387879"/>
    <w:rsid w:val="003D0584"/>
    <w:rsid w:val="003D6C5D"/>
    <w:rsid w:val="003E37E3"/>
    <w:rsid w:val="003E66E4"/>
    <w:rsid w:val="003F447F"/>
    <w:rsid w:val="004120FA"/>
    <w:rsid w:val="004304F8"/>
    <w:rsid w:val="00446FFA"/>
    <w:rsid w:val="00450EDF"/>
    <w:rsid w:val="004C3B5B"/>
    <w:rsid w:val="004D225C"/>
    <w:rsid w:val="005010D8"/>
    <w:rsid w:val="005057AC"/>
    <w:rsid w:val="00506942"/>
    <w:rsid w:val="00544402"/>
    <w:rsid w:val="00544A91"/>
    <w:rsid w:val="00554778"/>
    <w:rsid w:val="00554E8D"/>
    <w:rsid w:val="00561E65"/>
    <w:rsid w:val="00580A44"/>
    <w:rsid w:val="00597EA0"/>
    <w:rsid w:val="005A2108"/>
    <w:rsid w:val="005A7C7F"/>
    <w:rsid w:val="005B6ECF"/>
    <w:rsid w:val="005B6F48"/>
    <w:rsid w:val="005C6526"/>
    <w:rsid w:val="005D0429"/>
    <w:rsid w:val="005F2324"/>
    <w:rsid w:val="006174A9"/>
    <w:rsid w:val="00656A73"/>
    <w:rsid w:val="006943CA"/>
    <w:rsid w:val="00695442"/>
    <w:rsid w:val="006A0EE5"/>
    <w:rsid w:val="006B3B1F"/>
    <w:rsid w:val="006B636C"/>
    <w:rsid w:val="006D68C5"/>
    <w:rsid w:val="006F38ED"/>
    <w:rsid w:val="006F4AEE"/>
    <w:rsid w:val="00700586"/>
    <w:rsid w:val="00707E7B"/>
    <w:rsid w:val="0071025F"/>
    <w:rsid w:val="00714938"/>
    <w:rsid w:val="00720E17"/>
    <w:rsid w:val="00733C81"/>
    <w:rsid w:val="007439C3"/>
    <w:rsid w:val="00745DF2"/>
    <w:rsid w:val="00753B02"/>
    <w:rsid w:val="007673F2"/>
    <w:rsid w:val="00782E17"/>
    <w:rsid w:val="007A4A0B"/>
    <w:rsid w:val="007C4C82"/>
    <w:rsid w:val="007D2E04"/>
    <w:rsid w:val="00824D6F"/>
    <w:rsid w:val="00826F9B"/>
    <w:rsid w:val="00861B49"/>
    <w:rsid w:val="008719EA"/>
    <w:rsid w:val="008724A5"/>
    <w:rsid w:val="008774EF"/>
    <w:rsid w:val="008A6D2B"/>
    <w:rsid w:val="008A6E3F"/>
    <w:rsid w:val="008B3D86"/>
    <w:rsid w:val="008C3D3C"/>
    <w:rsid w:val="008C47B8"/>
    <w:rsid w:val="008C4F16"/>
    <w:rsid w:val="008C65B7"/>
    <w:rsid w:val="008D3E22"/>
    <w:rsid w:val="008E46BC"/>
    <w:rsid w:val="008F236A"/>
    <w:rsid w:val="00913305"/>
    <w:rsid w:val="0093341D"/>
    <w:rsid w:val="00985629"/>
    <w:rsid w:val="009A4D82"/>
    <w:rsid w:val="009B6A4B"/>
    <w:rsid w:val="009B6D13"/>
    <w:rsid w:val="009C38D4"/>
    <w:rsid w:val="009D2890"/>
    <w:rsid w:val="009D3B3A"/>
    <w:rsid w:val="009E26E1"/>
    <w:rsid w:val="009F186B"/>
    <w:rsid w:val="009F1FB1"/>
    <w:rsid w:val="009F2B5E"/>
    <w:rsid w:val="00A0186C"/>
    <w:rsid w:val="00A315FB"/>
    <w:rsid w:val="00A31B41"/>
    <w:rsid w:val="00A42F45"/>
    <w:rsid w:val="00A4615C"/>
    <w:rsid w:val="00A555B9"/>
    <w:rsid w:val="00A611CA"/>
    <w:rsid w:val="00A750C3"/>
    <w:rsid w:val="00A80455"/>
    <w:rsid w:val="00A9302C"/>
    <w:rsid w:val="00AA54EA"/>
    <w:rsid w:val="00AD34E5"/>
    <w:rsid w:val="00AD5A16"/>
    <w:rsid w:val="00B056A0"/>
    <w:rsid w:val="00B06942"/>
    <w:rsid w:val="00B11316"/>
    <w:rsid w:val="00B50024"/>
    <w:rsid w:val="00B72EAB"/>
    <w:rsid w:val="00BA573B"/>
    <w:rsid w:val="00BA72A0"/>
    <w:rsid w:val="00BD1479"/>
    <w:rsid w:val="00C015B1"/>
    <w:rsid w:val="00C264EC"/>
    <w:rsid w:val="00C2695C"/>
    <w:rsid w:val="00C2763D"/>
    <w:rsid w:val="00C43F66"/>
    <w:rsid w:val="00C54E1E"/>
    <w:rsid w:val="00C60FA4"/>
    <w:rsid w:val="00C62D51"/>
    <w:rsid w:val="00C84F5E"/>
    <w:rsid w:val="00C95C9A"/>
    <w:rsid w:val="00CA766E"/>
    <w:rsid w:val="00CE1B91"/>
    <w:rsid w:val="00D03250"/>
    <w:rsid w:val="00D21BA3"/>
    <w:rsid w:val="00D45DC4"/>
    <w:rsid w:val="00D55D74"/>
    <w:rsid w:val="00D62483"/>
    <w:rsid w:val="00D8498F"/>
    <w:rsid w:val="00DB533C"/>
    <w:rsid w:val="00DD4950"/>
    <w:rsid w:val="00E048B1"/>
    <w:rsid w:val="00E06C6D"/>
    <w:rsid w:val="00E2357E"/>
    <w:rsid w:val="00E24363"/>
    <w:rsid w:val="00E40772"/>
    <w:rsid w:val="00E51267"/>
    <w:rsid w:val="00E54835"/>
    <w:rsid w:val="00E6736A"/>
    <w:rsid w:val="00E854DE"/>
    <w:rsid w:val="00E91C00"/>
    <w:rsid w:val="00EA71E2"/>
    <w:rsid w:val="00EC0707"/>
    <w:rsid w:val="00ED17F8"/>
    <w:rsid w:val="00F26C55"/>
    <w:rsid w:val="00F52595"/>
    <w:rsid w:val="00F526AE"/>
    <w:rsid w:val="00F879CB"/>
    <w:rsid w:val="00F909DF"/>
    <w:rsid w:val="00F91A85"/>
    <w:rsid w:val="00FB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C355D"/>
  <w15:chartTrackingRefBased/>
  <w15:docId w15:val="{AF61433E-F211-4020-9828-37CC0702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0C5D"/>
    <w:pPr>
      <w:autoSpaceDE w:val="0"/>
      <w:autoSpaceDN w:val="0"/>
      <w:adjustRightInd w:val="0"/>
      <w:spacing w:after="0" w:line="288" w:lineRule="auto"/>
      <w:textAlignment w:val="center"/>
    </w:pPr>
    <w:rPr>
      <w:rFonts w:ascii="Mulish" w:hAnsi="Mulish" w:cs="Mulish"/>
      <w:color w:val="000000" w:themeColor="text1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80C5D"/>
    <w:pPr>
      <w:keepNext/>
      <w:keepLines/>
      <w:spacing w:before="240"/>
      <w:outlineLvl w:val="0"/>
    </w:pPr>
    <w:rPr>
      <w:rFonts w:eastAsiaTheme="majorEastAsia" w:cstheme="majorBidi"/>
      <w:b/>
      <w:color w:val="005984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0C5D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0C5D"/>
    <w:pPr>
      <w:keepNext/>
      <w:keepLines/>
      <w:spacing w:before="40"/>
      <w:outlineLvl w:val="2"/>
    </w:pPr>
    <w:rPr>
      <w:rFonts w:eastAsiaTheme="majorEastAsia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E26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58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483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4835"/>
  </w:style>
  <w:style w:type="paragraph" w:styleId="Zpat">
    <w:name w:val="footer"/>
    <w:basedOn w:val="Normln"/>
    <w:link w:val="ZpatChar"/>
    <w:uiPriority w:val="99"/>
    <w:unhideWhenUsed/>
    <w:rsid w:val="00E5483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4835"/>
  </w:style>
  <w:style w:type="paragraph" w:customStyle="1" w:styleId="Zkladnodstavec">
    <w:name w:val="[Základní odstavec]"/>
    <w:basedOn w:val="Normln"/>
    <w:link w:val="ZkladnodstavecChar"/>
    <w:uiPriority w:val="99"/>
    <w:rsid w:val="00D03250"/>
    <w:rPr>
      <w:rFonts w:ascii="Minion Pro" w:hAnsi="Minion Pro" w:cs="Minion Pro"/>
      <w:color w:val="000000"/>
      <w:sz w:val="24"/>
      <w:szCs w:val="24"/>
    </w:rPr>
  </w:style>
  <w:style w:type="character" w:customStyle="1" w:styleId="modryvyznaceni">
    <w:name w:val="modry vyznaceni"/>
    <w:uiPriority w:val="99"/>
    <w:rsid w:val="00203B5D"/>
    <w:rPr>
      <w:rFonts w:ascii="Public Sans" w:hAnsi="Public Sans" w:cs="Public Sans"/>
      <w:color w:val="0BB1D3"/>
      <w:sz w:val="20"/>
      <w:szCs w:val="20"/>
      <w:lang w:val="cs-CZ"/>
    </w:rPr>
  </w:style>
  <w:style w:type="paragraph" w:customStyle="1" w:styleId="NadpisSZ">
    <w:name w:val="Nadpis SZÚ"/>
    <w:basedOn w:val="Normln"/>
    <w:link w:val="NadpisSZChar"/>
    <w:rsid w:val="00380C5D"/>
    <w:rPr>
      <w:b/>
      <w:bCs/>
      <w:color w:val="005984"/>
      <w:sz w:val="32"/>
      <w:szCs w:val="32"/>
    </w:rPr>
  </w:style>
  <w:style w:type="paragraph" w:customStyle="1" w:styleId="textSZ">
    <w:name w:val="text SZÚ"/>
    <w:basedOn w:val="Zkladnodstavec"/>
    <w:link w:val="textSZChar"/>
    <w:rsid w:val="00380C5D"/>
    <w:rPr>
      <w:rFonts w:ascii="Mulish" w:hAnsi="Mulish" w:cs="Mulish"/>
      <w:color w:val="auto"/>
      <w:sz w:val="20"/>
      <w:szCs w:val="20"/>
    </w:rPr>
  </w:style>
  <w:style w:type="character" w:customStyle="1" w:styleId="NadpisSZChar">
    <w:name w:val="Nadpis SZÚ Char"/>
    <w:basedOn w:val="Standardnpsmoodstavce"/>
    <w:link w:val="NadpisSZ"/>
    <w:rsid w:val="00380C5D"/>
    <w:rPr>
      <w:rFonts w:ascii="Mulish" w:hAnsi="Mulish" w:cs="Mulish"/>
      <w:b/>
      <w:bCs/>
      <w:color w:val="005984"/>
      <w:sz w:val="32"/>
      <w:szCs w:val="32"/>
    </w:rPr>
  </w:style>
  <w:style w:type="paragraph" w:styleId="Bezmezer">
    <w:name w:val="No Spacing"/>
    <w:uiPriority w:val="1"/>
    <w:rsid w:val="00D62483"/>
    <w:pPr>
      <w:autoSpaceDE w:val="0"/>
      <w:autoSpaceDN w:val="0"/>
      <w:adjustRightInd w:val="0"/>
      <w:spacing w:after="0" w:line="240" w:lineRule="auto"/>
      <w:textAlignment w:val="center"/>
    </w:pPr>
    <w:rPr>
      <w:rFonts w:ascii="Mulish" w:hAnsi="Mulish" w:cs="Mulish"/>
      <w:color w:val="575756"/>
      <w:sz w:val="20"/>
      <w:szCs w:val="20"/>
    </w:rPr>
  </w:style>
  <w:style w:type="character" w:customStyle="1" w:styleId="ZkladnodstavecChar">
    <w:name w:val="[Základní odstavec] Char"/>
    <w:basedOn w:val="Standardnpsmoodstavce"/>
    <w:link w:val="Zkladnodstavec"/>
    <w:uiPriority w:val="99"/>
    <w:rsid w:val="00D62483"/>
    <w:rPr>
      <w:rFonts w:ascii="Minion Pro" w:hAnsi="Minion Pro" w:cs="Minion Pro"/>
      <w:color w:val="000000"/>
      <w:sz w:val="24"/>
      <w:szCs w:val="24"/>
    </w:rPr>
  </w:style>
  <w:style w:type="character" w:customStyle="1" w:styleId="textSZChar">
    <w:name w:val="text SZÚ Char"/>
    <w:basedOn w:val="ZkladnodstavecChar"/>
    <w:link w:val="textSZ"/>
    <w:rsid w:val="00380C5D"/>
    <w:rPr>
      <w:rFonts w:ascii="Mulish" w:hAnsi="Mulish" w:cs="Mulish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380C5D"/>
    <w:rPr>
      <w:rFonts w:ascii="Mulish" w:eastAsiaTheme="majorEastAsia" w:hAnsi="Mulish" w:cstheme="majorBidi"/>
      <w:b/>
      <w:color w:val="005984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0C5D"/>
    <w:rPr>
      <w:rFonts w:ascii="Mulish" w:eastAsiaTheme="majorEastAsia" w:hAnsi="Mulish" w:cstheme="majorBidi"/>
      <w:b/>
      <w:color w:val="000000" w:themeColor="text1"/>
      <w:sz w:val="26"/>
      <w:szCs w:val="26"/>
    </w:rPr>
  </w:style>
  <w:style w:type="paragraph" w:customStyle="1" w:styleId="hlavickaadresaSZ">
    <w:name w:val="hlavicka_adresa_SZÚ"/>
    <w:basedOn w:val="Zkladnodstavec"/>
    <w:link w:val="hlavickaadresaSZChar"/>
    <w:rsid w:val="00380C5D"/>
    <w:pPr>
      <w:jc w:val="right"/>
    </w:pPr>
    <w:rPr>
      <w:rFonts w:ascii="Mulish" w:hAnsi="Mulish"/>
      <w:color w:val="005984"/>
      <w:sz w:val="16"/>
      <w:szCs w:val="16"/>
    </w:rPr>
  </w:style>
  <w:style w:type="paragraph" w:customStyle="1" w:styleId="zapatitext">
    <w:name w:val="zapati_text"/>
    <w:basedOn w:val="Zkladnodstavec"/>
    <w:link w:val="zapatitextChar"/>
    <w:qFormat/>
    <w:rsid w:val="00210972"/>
    <w:pPr>
      <w:jc w:val="center"/>
    </w:pPr>
    <w:rPr>
      <w:rFonts w:ascii="Mulish" w:hAnsi="Mulish"/>
      <w:color w:val="575756"/>
      <w:sz w:val="16"/>
      <w:szCs w:val="16"/>
    </w:rPr>
  </w:style>
  <w:style w:type="character" w:customStyle="1" w:styleId="hlavickaadresaSZChar">
    <w:name w:val="hlavicka_adresa_SZÚ Char"/>
    <w:basedOn w:val="ZkladnodstavecChar"/>
    <w:link w:val="hlavickaadresaSZ"/>
    <w:rsid w:val="00380C5D"/>
    <w:rPr>
      <w:rFonts w:ascii="Mulish" w:hAnsi="Mulish" w:cs="Minion Pro"/>
      <w:color w:val="005984"/>
      <w:sz w:val="16"/>
      <w:szCs w:val="16"/>
    </w:rPr>
  </w:style>
  <w:style w:type="paragraph" w:customStyle="1" w:styleId="zapatibold">
    <w:name w:val="zapati_bold"/>
    <w:basedOn w:val="Zkladnodstavec"/>
    <w:link w:val="zapatiboldChar"/>
    <w:qFormat/>
    <w:rsid w:val="00380C5D"/>
    <w:pPr>
      <w:jc w:val="center"/>
    </w:pPr>
    <w:rPr>
      <w:rFonts w:ascii="Mulish" w:hAnsi="Mulish"/>
      <w:b/>
      <w:bCs/>
      <w:color w:val="005984"/>
      <w:sz w:val="16"/>
      <w:szCs w:val="16"/>
    </w:rPr>
  </w:style>
  <w:style w:type="character" w:customStyle="1" w:styleId="zapatitextChar">
    <w:name w:val="zapati_text Char"/>
    <w:basedOn w:val="ZkladnodstavecChar"/>
    <w:link w:val="zapatitext"/>
    <w:rsid w:val="00210972"/>
    <w:rPr>
      <w:rFonts w:ascii="Mulish" w:hAnsi="Mulish" w:cs="Minion Pro"/>
      <w:color w:val="575756"/>
      <w:sz w:val="16"/>
      <w:szCs w:val="16"/>
    </w:rPr>
  </w:style>
  <w:style w:type="paragraph" w:customStyle="1" w:styleId="normalnibold">
    <w:name w:val="normalni bold"/>
    <w:basedOn w:val="textSZ"/>
    <w:link w:val="normalniboldChar"/>
    <w:qFormat/>
    <w:rsid w:val="009C38D4"/>
    <w:rPr>
      <w:b/>
      <w:bCs/>
      <w:color w:val="005984"/>
    </w:rPr>
  </w:style>
  <w:style w:type="character" w:customStyle="1" w:styleId="zapatiboldChar">
    <w:name w:val="zapati_bold Char"/>
    <w:basedOn w:val="ZkladnodstavecChar"/>
    <w:link w:val="zapatibold"/>
    <w:rsid w:val="00380C5D"/>
    <w:rPr>
      <w:rFonts w:ascii="Mulish" w:hAnsi="Mulish" w:cs="Minion Pro"/>
      <w:b/>
      <w:bCs/>
      <w:color w:val="005984"/>
      <w:sz w:val="16"/>
      <w:szCs w:val="16"/>
    </w:rPr>
  </w:style>
  <w:style w:type="paragraph" w:customStyle="1" w:styleId="normalnivyznacovaci">
    <w:name w:val="normalni_vyznacovaci"/>
    <w:basedOn w:val="Normln"/>
    <w:link w:val="normalnivyznacovaciChar"/>
    <w:qFormat/>
    <w:rsid w:val="009E26E1"/>
    <w:rPr>
      <w:i/>
      <w:iCs/>
    </w:rPr>
  </w:style>
  <w:style w:type="character" w:customStyle="1" w:styleId="normalniboldChar">
    <w:name w:val="normalni bold Char"/>
    <w:basedOn w:val="textSZChar"/>
    <w:link w:val="normalnibold"/>
    <w:rsid w:val="009C38D4"/>
    <w:rPr>
      <w:rFonts w:ascii="Mulish" w:hAnsi="Mulish" w:cs="Mulish"/>
      <w:b/>
      <w:bCs/>
      <w:color w:val="005984"/>
      <w:sz w:val="20"/>
      <w:szCs w:val="20"/>
    </w:rPr>
  </w:style>
  <w:style w:type="character" w:customStyle="1" w:styleId="normalnivyznacovaciChar">
    <w:name w:val="normalni_vyznacovaci Char"/>
    <w:basedOn w:val="Standardnpsmoodstavce"/>
    <w:link w:val="normalnivyznacovaci"/>
    <w:rsid w:val="009E26E1"/>
    <w:rPr>
      <w:rFonts w:ascii="Mulish" w:hAnsi="Mulish" w:cs="Mulish"/>
      <w:i/>
      <w:iCs/>
      <w:color w:val="000000" w:themeColor="text1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F2B5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F2B5E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380C5D"/>
    <w:rPr>
      <w:rFonts w:ascii="Mulish" w:eastAsiaTheme="majorEastAsia" w:hAnsi="Mulish" w:cstheme="majorBidi"/>
      <w:b/>
      <w:color w:val="000000" w:themeColor="text1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rsid w:val="009E26E1"/>
    <w:pPr>
      <w:spacing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26E1"/>
    <w:rPr>
      <w:rFonts w:ascii="Mulish" w:eastAsiaTheme="majorEastAsia" w:hAnsi="Mulish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9E26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E26E1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rsid w:val="009E26E1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rsid w:val="009E26E1"/>
    <w:rPr>
      <w:i/>
      <w:iCs/>
    </w:rPr>
  </w:style>
  <w:style w:type="character" w:styleId="Zdraznnintenzivn">
    <w:name w:val="Intense Emphasis"/>
    <w:basedOn w:val="Standardnpsmoodstavce"/>
    <w:uiPriority w:val="21"/>
    <w:rsid w:val="009E26E1"/>
    <w:rPr>
      <w:i/>
      <w:iCs/>
      <w:color w:val="4472C4" w:themeColor="accent1"/>
    </w:rPr>
  </w:style>
  <w:style w:type="character" w:styleId="Siln">
    <w:name w:val="Strong"/>
    <w:basedOn w:val="Standardnpsmoodstavce"/>
    <w:uiPriority w:val="22"/>
    <w:qFormat/>
    <w:rsid w:val="009E26E1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E26E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E26E1"/>
    <w:rPr>
      <w:rFonts w:ascii="Mulish" w:hAnsi="Mulish" w:cs="Mulish"/>
      <w:i/>
      <w:iCs/>
      <w:color w:val="404040" w:themeColor="text1" w:themeTint="BF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9E26E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paragraph" w:customStyle="1" w:styleId="PodpisSZ">
    <w:name w:val="Podpis SZÚ"/>
    <w:basedOn w:val="Normln"/>
    <w:qFormat/>
    <w:rsid w:val="00A80455"/>
    <w:pPr>
      <w:jc w:val="right"/>
    </w:pPr>
    <w:rPr>
      <w:b/>
      <w:bCs/>
      <w:color w:val="005984"/>
    </w:rPr>
  </w:style>
  <w:style w:type="paragraph" w:customStyle="1" w:styleId="Podpisfunkce">
    <w:name w:val="Podpis funkce"/>
    <w:basedOn w:val="Normln"/>
    <w:qFormat/>
    <w:rsid w:val="00A80455"/>
    <w:pPr>
      <w:jc w:val="right"/>
    </w:pPr>
    <w:rPr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943CA"/>
    <w:rPr>
      <w:color w:val="954F72" w:themeColor="followed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58F1"/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3358F1"/>
    <w:pPr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hps">
    <w:name w:val="hps"/>
    <w:basedOn w:val="Standardnpsmoodstavce"/>
    <w:uiPriority w:val="99"/>
    <w:rsid w:val="00E40772"/>
  </w:style>
  <w:style w:type="paragraph" w:styleId="Textbubliny">
    <w:name w:val="Balloon Text"/>
    <w:basedOn w:val="Normln"/>
    <w:link w:val="TextbublinyChar"/>
    <w:uiPriority w:val="99"/>
    <w:semiHidden/>
    <w:unhideWhenUsed/>
    <w:rsid w:val="00E243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363"/>
    <w:rPr>
      <w:rFonts w:ascii="Segoe UI" w:hAnsi="Segoe UI" w:cs="Segoe UI"/>
      <w:color w:val="000000" w:themeColor="text1"/>
      <w:sz w:val="18"/>
      <w:szCs w:val="18"/>
    </w:rPr>
  </w:style>
  <w:style w:type="paragraph" w:styleId="Revize">
    <w:name w:val="Revision"/>
    <w:hidden/>
    <w:uiPriority w:val="99"/>
    <w:semiHidden/>
    <w:rsid w:val="00017236"/>
    <w:pPr>
      <w:spacing w:after="0" w:line="240" w:lineRule="auto"/>
    </w:pPr>
    <w:rPr>
      <w:rFonts w:ascii="Mulish" w:hAnsi="Mulish" w:cs="Mulish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7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02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7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27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9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u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9B33C-4618-4909-BF32-36C97D4A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1535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Hovorková</dc:creator>
  <cp:keywords/>
  <dc:description/>
  <cp:lastModifiedBy>Štěpánka Čechová</cp:lastModifiedBy>
  <cp:revision>4</cp:revision>
  <cp:lastPrinted>2024-05-27T13:40:00Z</cp:lastPrinted>
  <dcterms:created xsi:type="dcterms:W3CDTF">2025-05-26T20:19:00Z</dcterms:created>
  <dcterms:modified xsi:type="dcterms:W3CDTF">2025-05-27T08:38:00Z</dcterms:modified>
</cp:coreProperties>
</file>